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BF5DC" w14:textId="652CFA5D" w:rsidR="00C148C3" w:rsidRPr="009E1CED" w:rsidRDefault="00C148C3" w:rsidP="001F6FEE">
      <w:pPr>
        <w:jc w:val="both"/>
        <w:rPr>
          <w:rFonts w:ascii="Arial" w:hAnsi="Arial" w:cs="Arial"/>
          <w:b/>
          <w:bCs/>
          <w:sz w:val="20"/>
          <w:szCs w:val="20"/>
        </w:rPr>
      </w:pPr>
      <w:r w:rsidRPr="009E1CED">
        <w:rPr>
          <w:rFonts w:ascii="Arial" w:hAnsi="Arial" w:cs="Arial"/>
          <w:b/>
          <w:bCs/>
          <w:sz w:val="20"/>
          <w:szCs w:val="20"/>
        </w:rPr>
        <w:t>Poster Presentation</w:t>
      </w:r>
    </w:p>
    <w:p w14:paraId="6F946904" w14:textId="77777777" w:rsidR="00C148C3" w:rsidRPr="009E1CED" w:rsidRDefault="00000000" w:rsidP="00C148C3">
      <w:pPr>
        <w:pStyle w:val="DDLTitle"/>
        <w:rPr>
          <w:rFonts w:cs="Arial"/>
          <w:sz w:val="20"/>
          <w:szCs w:val="20"/>
        </w:rPr>
      </w:pPr>
      <w:sdt>
        <w:sdtPr>
          <w:rPr>
            <w:rFonts w:cs="Arial"/>
            <w:sz w:val="20"/>
            <w:szCs w:val="20"/>
          </w:rPr>
          <w:alias w:val="Title"/>
          <w:tag w:val="Title"/>
          <w:id w:val="-151142031"/>
          <w:placeholder>
            <w:docPart w:val="DE2C65F19851B344A87D427A5176473D"/>
          </w:placeholder>
        </w:sdtPr>
        <w:sdtContent>
          <w:r w:rsidR="00C148C3" w:rsidRPr="009E1CED">
            <w:rPr>
              <w:rFonts w:cs="Arial"/>
              <w:sz w:val="20"/>
              <w:szCs w:val="20"/>
            </w:rPr>
            <w:t>Assessment of the Realistic Performance of Orbital™ High Payload Device Automatically Filled by Drum Lab with Model Fluticasone Propionate Blends</w:t>
          </w:r>
        </w:sdtContent>
      </w:sdt>
      <w:r w:rsidR="00C148C3" w:rsidRPr="009E1CED">
        <w:rPr>
          <w:rFonts w:cs="Arial"/>
          <w:sz w:val="20"/>
          <w:szCs w:val="20"/>
        </w:rPr>
        <w:t xml:space="preserve"> </w:t>
      </w:r>
    </w:p>
    <w:p w14:paraId="2B8DB4B1" w14:textId="2F0E1534" w:rsidR="00C148C3" w:rsidRPr="009E1CED" w:rsidRDefault="00000000" w:rsidP="00C148C3">
      <w:pPr>
        <w:pStyle w:val="DDLSubtitle"/>
        <w:rPr>
          <w:rFonts w:cs="Arial"/>
          <w:sz w:val="20"/>
          <w:szCs w:val="20"/>
        </w:rPr>
      </w:pPr>
      <w:sdt>
        <w:sdtPr>
          <w:rPr>
            <w:rFonts w:cs="Arial"/>
            <w:sz w:val="20"/>
            <w:szCs w:val="20"/>
            <w:u w:val="single"/>
          </w:rPr>
          <w:alias w:val="Main Author"/>
          <w:tag w:val="Main Author"/>
          <w:id w:val="-2082290773"/>
          <w:placeholder>
            <w:docPart w:val="119124B54A19D14C848E524710844633"/>
          </w:placeholder>
        </w:sdtPr>
        <w:sdtContent>
          <w:r w:rsidR="00C148C3" w:rsidRPr="009E1CED">
            <w:rPr>
              <w:rFonts w:cs="Arial"/>
              <w:sz w:val="20"/>
              <w:szCs w:val="20"/>
              <w:u w:val="single"/>
            </w:rPr>
            <w:t>Cristina Rey-Blanes</w:t>
          </w:r>
          <w:r w:rsidR="00C148C3" w:rsidRPr="009E1CED">
            <w:rPr>
              <w:rFonts w:cs="Arial"/>
              <w:sz w:val="20"/>
              <w:szCs w:val="20"/>
              <w:u w:val="single"/>
              <w:vertAlign w:val="superscript"/>
            </w:rPr>
            <w:t>1</w:t>
          </w:r>
          <w:r w:rsidR="00C148C3" w:rsidRPr="009E1CED">
            <w:rPr>
              <w:rFonts w:cs="Arial"/>
              <w:sz w:val="20"/>
              <w:szCs w:val="20"/>
              <w:u w:val="single"/>
            </w:rPr>
            <w:t xml:space="preserve"> &amp; Reanne Beaird</w:t>
          </w:r>
        </w:sdtContent>
      </w:sdt>
      <w:r w:rsidR="00C148C3" w:rsidRPr="009E1CED">
        <w:rPr>
          <w:rFonts w:cs="Arial"/>
          <w:sz w:val="20"/>
          <w:szCs w:val="20"/>
          <w:vertAlign w:val="superscript"/>
        </w:rPr>
        <w:t>1</w:t>
      </w:r>
      <w:r w:rsidR="00C148C3" w:rsidRPr="009E1CED">
        <w:rPr>
          <w:rFonts w:cs="Arial"/>
          <w:sz w:val="20"/>
          <w:szCs w:val="20"/>
        </w:rPr>
        <w:t>, Norma Ulrich</w:t>
      </w:r>
      <w:r w:rsidR="00C148C3" w:rsidRPr="009E1CED">
        <w:rPr>
          <w:rFonts w:cs="Arial"/>
          <w:sz w:val="20"/>
          <w:szCs w:val="20"/>
          <w:vertAlign w:val="superscript"/>
        </w:rPr>
        <w:t>2</w:t>
      </w:r>
      <w:r w:rsidR="00C148C3" w:rsidRPr="009E1CED">
        <w:rPr>
          <w:rFonts w:cs="Arial"/>
          <w:sz w:val="20"/>
          <w:szCs w:val="20"/>
        </w:rPr>
        <w:t>,</w:t>
      </w:r>
      <w:r w:rsidR="005323F4" w:rsidRPr="009E1CED">
        <w:rPr>
          <w:rFonts w:cs="Arial"/>
          <w:sz w:val="20"/>
          <w:szCs w:val="20"/>
        </w:rPr>
        <w:t xml:space="preserve"> </w:t>
      </w:r>
      <w:r w:rsidR="00C148C3" w:rsidRPr="009E1CED">
        <w:rPr>
          <w:rFonts w:cs="Arial"/>
          <w:sz w:val="20"/>
          <w:szCs w:val="20"/>
        </w:rPr>
        <w:t>Katarzyna Epeslidis</w:t>
      </w:r>
      <w:r w:rsidR="00C148C3" w:rsidRPr="009E1CED">
        <w:rPr>
          <w:rFonts w:cs="Arial"/>
          <w:sz w:val="20"/>
          <w:szCs w:val="20"/>
          <w:vertAlign w:val="superscript"/>
        </w:rPr>
        <w:t>2</w:t>
      </w:r>
      <w:r w:rsidR="00C148C3" w:rsidRPr="009E1CED">
        <w:rPr>
          <w:rFonts w:cs="Arial"/>
          <w:sz w:val="20"/>
          <w:szCs w:val="20"/>
        </w:rPr>
        <w:t>, Niall Doherty</w:t>
      </w:r>
      <w:r w:rsidR="00C148C3" w:rsidRPr="009E1CED">
        <w:rPr>
          <w:rFonts w:cs="Arial"/>
          <w:sz w:val="20"/>
          <w:szCs w:val="20"/>
          <w:vertAlign w:val="superscript"/>
        </w:rPr>
        <w:t>1</w:t>
      </w:r>
      <w:r w:rsidR="00C148C3" w:rsidRPr="009E1CED">
        <w:rPr>
          <w:rFonts w:cs="Arial"/>
          <w:sz w:val="20"/>
          <w:szCs w:val="20"/>
        </w:rPr>
        <w:t>, William J Ganley</w:t>
      </w:r>
      <w:r w:rsidR="00C148C3" w:rsidRPr="009E1CED">
        <w:rPr>
          <w:rFonts w:cs="Arial"/>
          <w:sz w:val="20"/>
          <w:szCs w:val="20"/>
          <w:vertAlign w:val="superscript"/>
        </w:rPr>
        <w:t>1</w:t>
      </w:r>
      <w:r w:rsidR="00C148C3" w:rsidRPr="009E1CED">
        <w:rPr>
          <w:rFonts w:cs="Arial"/>
          <w:sz w:val="20"/>
          <w:szCs w:val="20"/>
        </w:rPr>
        <w:t>, Antonia Zapata del Bano</w:t>
      </w:r>
      <w:r w:rsidR="00C148C3" w:rsidRPr="009E1CED">
        <w:rPr>
          <w:rFonts w:cs="Arial"/>
          <w:sz w:val="20"/>
          <w:szCs w:val="20"/>
          <w:vertAlign w:val="superscript"/>
        </w:rPr>
        <w:t>1</w:t>
      </w:r>
      <w:r w:rsidR="00C148C3" w:rsidRPr="009E1CED">
        <w:rPr>
          <w:rFonts w:cs="Arial"/>
          <w:sz w:val="20"/>
          <w:szCs w:val="20"/>
        </w:rPr>
        <w:t>, Jonathan Tournaire</w:t>
      </w:r>
      <w:r w:rsidR="00C148C3" w:rsidRPr="009E1CED">
        <w:rPr>
          <w:rFonts w:cs="Arial"/>
          <w:sz w:val="20"/>
          <w:szCs w:val="20"/>
          <w:vertAlign w:val="superscript"/>
        </w:rPr>
        <w:t>3</w:t>
      </w:r>
      <w:r w:rsidR="00C148C3" w:rsidRPr="009E1CED">
        <w:rPr>
          <w:rFonts w:cs="Arial"/>
          <w:sz w:val="20"/>
          <w:szCs w:val="20"/>
        </w:rPr>
        <w:t>, Irene Rossi</w:t>
      </w:r>
      <w:r w:rsidR="00C148C3" w:rsidRPr="009E1CED">
        <w:rPr>
          <w:rFonts w:cs="Arial"/>
          <w:sz w:val="20"/>
          <w:szCs w:val="20"/>
          <w:vertAlign w:val="superscript"/>
        </w:rPr>
        <w:t>1</w:t>
      </w:r>
    </w:p>
    <w:p w14:paraId="7659B60D" w14:textId="77777777" w:rsidR="00C148C3" w:rsidRPr="009E1CED" w:rsidRDefault="00C148C3" w:rsidP="00C148C3">
      <w:pPr>
        <w:pStyle w:val="DDLAddress1"/>
        <w:spacing w:after="0"/>
        <w:rPr>
          <w:rFonts w:cs="Arial"/>
          <w:sz w:val="20"/>
          <w:szCs w:val="20"/>
        </w:rPr>
      </w:pPr>
      <w:r w:rsidRPr="009E1CED">
        <w:rPr>
          <w:rFonts w:cs="Arial"/>
          <w:sz w:val="20"/>
          <w:szCs w:val="20"/>
          <w:vertAlign w:val="superscript"/>
        </w:rPr>
        <w:t>1</w:t>
      </w:r>
      <w:r w:rsidRPr="009E1CED">
        <w:rPr>
          <w:rFonts w:cs="Arial"/>
          <w:sz w:val="20"/>
          <w:szCs w:val="20"/>
        </w:rPr>
        <w:t>Nanopharm Ltd, An Aptar Pharma Company, Grange Road, Cwmbran NP44 3WY, United Kingdom</w:t>
      </w:r>
    </w:p>
    <w:p w14:paraId="6AAA0310" w14:textId="77777777" w:rsidR="00C148C3" w:rsidRPr="009E1CED" w:rsidRDefault="00C148C3" w:rsidP="00C148C3">
      <w:pPr>
        <w:pStyle w:val="DDLAddress2"/>
        <w:spacing w:after="0"/>
        <w:rPr>
          <w:rFonts w:cs="Arial"/>
          <w:sz w:val="20"/>
          <w:szCs w:val="20"/>
          <w:lang w:val="de-DE"/>
        </w:rPr>
      </w:pPr>
      <w:r w:rsidRPr="009E1CED">
        <w:rPr>
          <w:rFonts w:cs="Arial"/>
          <w:sz w:val="20"/>
          <w:szCs w:val="20"/>
          <w:vertAlign w:val="superscript"/>
          <w:lang w:val="de-DE"/>
        </w:rPr>
        <w:t>2</w:t>
      </w:r>
      <w:r w:rsidRPr="009E1CED">
        <w:rPr>
          <w:rFonts w:cs="Arial"/>
          <w:sz w:val="20"/>
          <w:szCs w:val="20"/>
          <w:lang w:val="de-DE"/>
        </w:rPr>
        <w:t>Harro H</w:t>
      </w:r>
      <w:r w:rsidRPr="009E1CED">
        <w:rPr>
          <w:rFonts w:cs="Arial"/>
          <w:sz w:val="20"/>
          <w:szCs w:val="20"/>
          <w:lang w:val="fr-FR"/>
        </w:rPr>
        <w:t>ӧ</w:t>
      </w:r>
      <w:r w:rsidRPr="009E1CED">
        <w:rPr>
          <w:rFonts w:cs="Arial"/>
          <w:sz w:val="20"/>
          <w:szCs w:val="20"/>
          <w:lang w:val="de-DE"/>
        </w:rPr>
        <w:t>fliger Verpackungsmaschinen GmbH, Helmholtzstraße 4, Allmersbach i.T. 71573, Germany</w:t>
      </w:r>
    </w:p>
    <w:p w14:paraId="17445DD9" w14:textId="77777777" w:rsidR="00C148C3" w:rsidRPr="009E1CED" w:rsidRDefault="00C148C3" w:rsidP="00C148C3">
      <w:pPr>
        <w:pStyle w:val="DDLAddress2"/>
        <w:spacing w:after="0"/>
        <w:rPr>
          <w:rFonts w:cs="Arial"/>
          <w:sz w:val="20"/>
          <w:szCs w:val="20"/>
          <w:lang w:val="fr-FR"/>
        </w:rPr>
      </w:pPr>
      <w:r w:rsidRPr="009E1CED">
        <w:rPr>
          <w:rFonts w:cs="Arial"/>
          <w:sz w:val="20"/>
          <w:szCs w:val="20"/>
          <w:vertAlign w:val="superscript"/>
          <w:lang w:val="fr-FR"/>
        </w:rPr>
        <w:t>3</w:t>
      </w:r>
      <w:r w:rsidRPr="009E1CED">
        <w:rPr>
          <w:rFonts w:cs="Arial"/>
          <w:sz w:val="20"/>
          <w:szCs w:val="20"/>
          <w:lang w:val="fr-FR"/>
        </w:rPr>
        <w:t>Aptar Pharma SAS, Route des Falaises, Le Vaudreuil 27100, France</w:t>
      </w:r>
    </w:p>
    <w:p w14:paraId="34D109ED" w14:textId="77777777" w:rsidR="00C148C3" w:rsidRPr="009E1CED" w:rsidRDefault="00C148C3" w:rsidP="00C148C3">
      <w:pPr>
        <w:pStyle w:val="DDLHeading1"/>
        <w:rPr>
          <w:rFonts w:cs="Arial"/>
          <w:sz w:val="20"/>
          <w:szCs w:val="20"/>
        </w:rPr>
      </w:pPr>
      <w:r w:rsidRPr="009E1CED">
        <w:rPr>
          <w:rFonts w:cs="Arial"/>
          <w:sz w:val="20"/>
          <w:szCs w:val="20"/>
        </w:rPr>
        <w:t>Introduction</w:t>
      </w:r>
    </w:p>
    <w:p w14:paraId="5276967F" w14:textId="77777777" w:rsidR="00C148C3" w:rsidRPr="009E1CED" w:rsidRDefault="00C148C3" w:rsidP="00C148C3">
      <w:pPr>
        <w:pStyle w:val="DDLBodyText"/>
        <w:rPr>
          <w:rFonts w:cs="Arial"/>
          <w:sz w:val="20"/>
        </w:rPr>
      </w:pPr>
      <w:r w:rsidRPr="009E1CED">
        <w:rPr>
          <w:rFonts w:cs="Arial"/>
          <w:sz w:val="20"/>
        </w:rPr>
        <w:t>Lung diseases such as cystic fibrosis, tuberculosis and infection of the lung are often treated systemically through oral or intravenous therapies, leading to prolonged treatment times and lack of direct targeting of the disease. Therefore, high payload dry powder inhalers (DPI) have become an industry focus both from a formulation and device perspective. Orbital™ device is a single dose DPI capable of delivering large payloads to the lungs (50 mg – 400 mg) over several inhalations from a single reservoir of powder [1].</w:t>
      </w:r>
    </w:p>
    <w:p w14:paraId="2A787854" w14:textId="77777777" w:rsidR="00C148C3" w:rsidRPr="009E1CED" w:rsidRDefault="00C148C3" w:rsidP="00C148C3">
      <w:pPr>
        <w:pStyle w:val="DDLBodyText"/>
        <w:rPr>
          <w:rFonts w:cs="Arial"/>
          <w:sz w:val="20"/>
        </w:rPr>
      </w:pPr>
      <w:r w:rsidRPr="009E1CED">
        <w:rPr>
          <w:rFonts w:cs="Arial"/>
          <w:sz w:val="20"/>
        </w:rPr>
        <w:t>The purpose of this study was to assess the realistic aerodynamic performance of Orbital when automatically filled by drum. Two formulations each contained Fluticasone Propionate (FP) were employed. FP was selected as a model cohesive active pharmaceutical ingredient (API) due to its charge retention and tendency to agglomerate.</w:t>
      </w:r>
    </w:p>
    <w:p w14:paraId="6AAD0175" w14:textId="77777777" w:rsidR="00C148C3" w:rsidRPr="009E1CED" w:rsidRDefault="00C148C3" w:rsidP="00C148C3">
      <w:pPr>
        <w:pStyle w:val="DDLHeading1"/>
        <w:rPr>
          <w:rFonts w:cs="Arial"/>
          <w:sz w:val="20"/>
          <w:szCs w:val="20"/>
        </w:rPr>
      </w:pPr>
      <w:r w:rsidRPr="009E1CED">
        <w:rPr>
          <w:rFonts w:cs="Arial"/>
          <w:sz w:val="20"/>
          <w:szCs w:val="20"/>
        </w:rPr>
        <w:t>Materials and Methods</w:t>
      </w:r>
    </w:p>
    <w:p w14:paraId="0A1DE8A2" w14:textId="77777777" w:rsidR="00C148C3" w:rsidRPr="009E1CED" w:rsidRDefault="00C148C3" w:rsidP="00C148C3">
      <w:pPr>
        <w:pStyle w:val="DDLBodyText"/>
        <w:rPr>
          <w:rFonts w:cs="Arial"/>
          <w:sz w:val="20"/>
        </w:rPr>
      </w:pPr>
      <w:r w:rsidRPr="009E1CED">
        <w:rPr>
          <w:rFonts w:cs="Arial"/>
          <w:sz w:val="20"/>
        </w:rPr>
        <w:t>Two formulations were prepared: Blend 1 (FP:magnesium stearate = 99.0:1.0% w/w) manufactured using a Turbula</w:t>
      </w:r>
      <w:r w:rsidRPr="009E1CED">
        <w:rPr>
          <w:rFonts w:cs="Arial"/>
          <w:sz w:val="20"/>
          <w:vertAlign w:val="superscript"/>
        </w:rPr>
        <w:t>®</w:t>
      </w:r>
      <w:r w:rsidRPr="009E1CED">
        <w:rPr>
          <w:rFonts w:cs="Arial"/>
          <w:sz w:val="20"/>
        </w:rPr>
        <w:t xml:space="preserve"> Low Shear Mixer (WAB, CH) at 22 rpm for 20 minutes and Blend 2 (lactose LH200:FP = 50:50% w/w), manufactured using isothermal Dry Particle Coating (iDPC, Aston Particle Technologies, UK) [2]. </w:t>
      </w:r>
    </w:p>
    <w:p w14:paraId="38723D62" w14:textId="77777777" w:rsidR="00C148C3" w:rsidRPr="009E1CED" w:rsidRDefault="00C148C3" w:rsidP="00C148C3">
      <w:pPr>
        <w:pStyle w:val="DDLBodyText"/>
        <w:rPr>
          <w:rFonts w:cs="Arial"/>
          <w:sz w:val="20"/>
        </w:rPr>
      </w:pPr>
      <w:r w:rsidRPr="009E1CED">
        <w:rPr>
          <w:rFonts w:cs="Arial"/>
          <w:sz w:val="20"/>
        </w:rPr>
        <w:t>Orbital (Aptar Pharma, FR) was tested in its prototype single use configuration (puck reservoir with 0.6 or 0.9 mm single hole diameter). The device was filled at two fill weights (125 mg and 250 mg) using the Drum Lab (Harro Höfliger, DE) with a 50 mm</w:t>
      </w:r>
      <w:r w:rsidRPr="009E1CED">
        <w:rPr>
          <w:rFonts w:cs="Arial"/>
          <w:sz w:val="20"/>
          <w:vertAlign w:val="superscript"/>
        </w:rPr>
        <w:t>3</w:t>
      </w:r>
      <w:r w:rsidRPr="009E1CED">
        <w:rPr>
          <w:rFonts w:cs="Arial"/>
          <w:sz w:val="20"/>
        </w:rPr>
        <w:t xml:space="preserve"> drum.  Puck orifice diameter and fill weights were selected based on results previously collected.</w:t>
      </w:r>
    </w:p>
    <w:p w14:paraId="11A9AABA" w14:textId="77777777" w:rsidR="00C148C3" w:rsidRPr="009E1CED" w:rsidRDefault="00C148C3" w:rsidP="00C148C3">
      <w:pPr>
        <w:pStyle w:val="DDLBodyText"/>
        <w:rPr>
          <w:rFonts w:cs="Arial"/>
          <w:sz w:val="20"/>
        </w:rPr>
      </w:pPr>
      <w:r w:rsidRPr="009E1CED">
        <w:rPr>
          <w:rFonts w:cs="Arial"/>
          <w:sz w:val="20"/>
        </w:rPr>
        <w:t>Realistic aerodynamic particle size distribution (rAPSD) was measured using a coated (brij-35: glycerol: ethanol: MilliQ water = 1.7: 38: 54: 6.3% w/v) medium-size anatomical throat (AT; Emmace Consulting, SE), a Next Generation Impactor (Copley Scientific, UK) and a breathing simulator employing a healthy volunteer inhalation profile (46.44 L/min of Peak Inspiratory Flow Rate with 5.08 s of Total Inhalation Time to achieve 3.13 L of Total Inhaled Volume). Delivered Dose (DD), Fine Particle Mass (FPM) and Fine Particle Fraction (FPF), calculated on DD, were reported.</w:t>
      </w:r>
    </w:p>
    <w:p w14:paraId="3507580B" w14:textId="77777777" w:rsidR="00C148C3" w:rsidRPr="009E1CED" w:rsidRDefault="00C148C3" w:rsidP="00C148C3">
      <w:pPr>
        <w:pStyle w:val="DDLBodyText"/>
        <w:rPr>
          <w:rFonts w:cs="Arial"/>
          <w:sz w:val="20"/>
        </w:rPr>
      </w:pPr>
      <w:r w:rsidRPr="009E1CED">
        <w:rPr>
          <w:rFonts w:cs="Arial"/>
          <w:sz w:val="20"/>
        </w:rPr>
        <w:t>The regional deposition model (RDM) of patterns achieved over the selected breathing profile and three successive inhalations were predicted using the National Council on Radiation Protection and Measurements (NCRP) model applied to a bolus aerosol. The model was used to predict deposition in the Weibel A lung model using the rAPSD data to calculate the FP percentage deposited in the following groupings of lung generations: extra-thoracic (ET, generation -1), tracheobronchial (BB, generations 0-8), bronchiolar (bb, generations 9-15), alveolar interstitial (AI, generations 16-23) and exhaled fraction (EX).</w:t>
      </w:r>
    </w:p>
    <w:p w14:paraId="75C979DB" w14:textId="77777777" w:rsidR="00C148C3" w:rsidRPr="009E1CED" w:rsidRDefault="00C148C3" w:rsidP="00C148C3">
      <w:pPr>
        <w:pStyle w:val="DDLHeading1"/>
        <w:rPr>
          <w:rFonts w:cs="Arial"/>
          <w:sz w:val="20"/>
          <w:szCs w:val="20"/>
        </w:rPr>
      </w:pPr>
      <w:r w:rsidRPr="009E1CED">
        <w:rPr>
          <w:rFonts w:cs="Arial"/>
          <w:sz w:val="20"/>
          <w:szCs w:val="20"/>
        </w:rPr>
        <w:t>Results and Discussion</w:t>
      </w:r>
    </w:p>
    <w:p w14:paraId="4D54BAEC" w14:textId="77777777" w:rsidR="00C148C3" w:rsidRPr="009E1CED" w:rsidRDefault="00C148C3" w:rsidP="00C148C3">
      <w:pPr>
        <w:pStyle w:val="DDLBodyText"/>
        <w:rPr>
          <w:rFonts w:cs="Arial"/>
          <w:sz w:val="20"/>
        </w:rPr>
      </w:pPr>
      <w:r w:rsidRPr="009E1CED">
        <w:rPr>
          <w:rFonts w:cs="Arial"/>
          <w:sz w:val="20"/>
        </w:rPr>
        <w:t xml:space="preserve">The average fill weights and relative standard deviation (RSD) obtained for the automatic filling of the two blends are presented in Table 1. Generally, RSD was ≤ 3.2%, even though it was not possible to fill Blend 1 at 250 mg fill weight due to the powder low density (0.18 g/cm3). Puck content uniformity was &gt; 98.5% for Blend 2, indicating homogenous powder filling for the iDPC blend with the whole intended API dose loaded into the puck. </w:t>
      </w:r>
    </w:p>
    <w:p w14:paraId="4693CD05" w14:textId="77777777" w:rsidR="00C148C3" w:rsidRPr="009E1CED" w:rsidRDefault="00C148C3" w:rsidP="00C148C3">
      <w:pPr>
        <w:pStyle w:val="DDLBodyText"/>
        <w:rPr>
          <w:rFonts w:cs="Arial"/>
          <w:sz w:val="20"/>
        </w:rPr>
      </w:pPr>
      <w:r w:rsidRPr="009E1CED">
        <w:rPr>
          <w:rFonts w:cs="Arial"/>
          <w:sz w:val="20"/>
        </w:rPr>
        <w:lastRenderedPageBreak/>
        <w:t xml:space="preserve">Orbital device allows for several breaths in order to inhale the full dose (Figure 1). For both blends tested, the cumulative delivered mass, and consequently API dose, depended on the puck hole diameter (0.9 &gt; 0.6 mm) and loaded dose (only for 0.6 mm puck) with the highest percentage of delivered mass obtained by Blend 2 loaded at both fill weights in 0.9 mm single hole puck (&gt; 65% after 5 inhalations). The presence of large lactose particles as carrier, even if just at 50% w/w, and the mixing technology employed, as previously observed, improved powder flowability determining a higher percentage of formulation delivered from Orbital in 5 consecutive inhalations.    </w:t>
      </w:r>
    </w:p>
    <w:p w14:paraId="2F2D1820" w14:textId="77777777" w:rsidR="00C148C3" w:rsidRPr="009E1CED" w:rsidRDefault="00C148C3" w:rsidP="00C148C3">
      <w:pPr>
        <w:pStyle w:val="DDLBodyText"/>
        <w:rPr>
          <w:rFonts w:cs="Arial"/>
          <w:sz w:val="20"/>
        </w:rPr>
      </w:pPr>
      <w:r w:rsidRPr="009E1CED">
        <w:rPr>
          <w:rFonts w:cs="Arial"/>
          <w:sz w:val="20"/>
        </w:rPr>
        <w:t>Aerosol deposition performance data for the first 3 inhalations are showed in Table 1. As already reported in previous studies, a larger puck orifice allowed for a higher DD with an increased FPM, albeit FPF remained comparable. Despite the less favourable flow properties, Blend 1 delivered a higher FPM in 3 consecutive inhalations, due to the higher FP load and its particle very small size (D</w:t>
      </w:r>
      <w:r w:rsidRPr="009E1CED">
        <w:rPr>
          <w:rFonts w:cs="Arial"/>
          <w:sz w:val="20"/>
          <w:vertAlign w:val="subscript"/>
        </w:rPr>
        <w:t>v</w:t>
      </w:r>
      <w:r w:rsidRPr="009E1CED">
        <w:rPr>
          <w:rFonts w:cs="Arial"/>
          <w:sz w:val="20"/>
        </w:rPr>
        <w:t>,</w:t>
      </w:r>
      <w:r w:rsidRPr="009E1CED">
        <w:rPr>
          <w:rFonts w:cs="Arial"/>
          <w:sz w:val="20"/>
          <w:vertAlign w:val="subscript"/>
        </w:rPr>
        <w:t>50</w:t>
      </w:r>
      <w:r w:rsidRPr="009E1CED">
        <w:rPr>
          <w:rFonts w:cs="Arial"/>
          <w:sz w:val="20"/>
        </w:rPr>
        <w:t xml:space="preserve"> 1.45 µm). For Blend 2 aerodynamic performance showed to be independent of the fill weight: same FPF at both 125 mg and 250 mg of powder filled. </w:t>
      </w:r>
    </w:p>
    <w:p w14:paraId="70035F42" w14:textId="77777777" w:rsidR="00C148C3" w:rsidRPr="009E1CED" w:rsidRDefault="00C148C3" w:rsidP="00C148C3">
      <w:pPr>
        <w:pStyle w:val="DDLCaption"/>
        <w:rPr>
          <w:rFonts w:cs="Arial"/>
          <w:sz w:val="20"/>
          <w:szCs w:val="20"/>
        </w:rPr>
      </w:pPr>
      <w:r w:rsidRPr="009E1CED">
        <w:rPr>
          <w:rFonts w:cs="Arial"/>
          <w:sz w:val="20"/>
          <w:szCs w:val="20"/>
        </w:rPr>
        <w:t>Table 1. Fill weight, puck content uniformity and aerosol performance results (rAPSD) over three consecutive breaths.</w:t>
      </w:r>
    </w:p>
    <w:tbl>
      <w:tblPr>
        <w:tblStyle w:val="PlainTable3"/>
        <w:tblW w:w="9626" w:type="dxa"/>
        <w:jc w:val="center"/>
        <w:tblLayout w:type="fixed"/>
        <w:tblLook w:val="04A0" w:firstRow="1" w:lastRow="0" w:firstColumn="1" w:lastColumn="0" w:noHBand="0" w:noVBand="1"/>
      </w:tblPr>
      <w:tblGrid>
        <w:gridCol w:w="693"/>
        <w:gridCol w:w="1110"/>
        <w:gridCol w:w="1387"/>
        <w:gridCol w:w="1328"/>
        <w:gridCol w:w="1510"/>
        <w:gridCol w:w="1264"/>
        <w:gridCol w:w="1167"/>
        <w:gridCol w:w="1167"/>
      </w:tblGrid>
      <w:tr w:rsidR="00C148C3" w:rsidRPr="009E1CED" w14:paraId="6E59251C" w14:textId="77777777" w:rsidTr="00A313DF">
        <w:trPr>
          <w:cnfStyle w:val="100000000000" w:firstRow="1" w:lastRow="0" w:firstColumn="0" w:lastColumn="0" w:oddVBand="0" w:evenVBand="0" w:oddHBand="0" w:evenHBand="0" w:firstRowFirstColumn="0" w:firstRowLastColumn="0" w:lastRowFirstColumn="0" w:lastRowLastColumn="0"/>
          <w:trHeight w:hRule="exact" w:val="688"/>
          <w:jc w:val="center"/>
        </w:trPr>
        <w:tc>
          <w:tcPr>
            <w:cnfStyle w:val="001000000100" w:firstRow="0" w:lastRow="0" w:firstColumn="1" w:lastColumn="0" w:oddVBand="0" w:evenVBand="0" w:oddHBand="0" w:evenHBand="0" w:firstRowFirstColumn="1" w:firstRowLastColumn="0" w:lastRowFirstColumn="0" w:lastRowLastColumn="0"/>
            <w:tcW w:w="693" w:type="dxa"/>
          </w:tcPr>
          <w:p w14:paraId="4C6A6CCC" w14:textId="77777777" w:rsidR="00C148C3" w:rsidRPr="009E1CED" w:rsidRDefault="00C148C3" w:rsidP="00A313DF">
            <w:pPr>
              <w:widowControl w:val="0"/>
              <w:autoSpaceDE w:val="0"/>
              <w:autoSpaceDN w:val="0"/>
              <w:adjustRightInd w:val="0"/>
              <w:spacing w:before="240" w:after="0"/>
              <w:jc w:val="center"/>
              <w:rPr>
                <w:rFonts w:ascii="Arial" w:hAnsi="Arial" w:cs="Arial"/>
                <w:bCs w:val="0"/>
                <w:color w:val="000000"/>
                <w:sz w:val="20"/>
                <w:szCs w:val="20"/>
              </w:rPr>
            </w:pPr>
            <w:r w:rsidRPr="009E1CED">
              <w:rPr>
                <w:rFonts w:ascii="Arial" w:hAnsi="Arial" w:cs="Arial"/>
                <w:caps w:val="0"/>
                <w:color w:val="000000"/>
                <w:sz w:val="20"/>
                <w:szCs w:val="20"/>
              </w:rPr>
              <w:t>Blend</w:t>
            </w:r>
          </w:p>
        </w:tc>
        <w:tc>
          <w:tcPr>
            <w:tcW w:w="1110" w:type="dxa"/>
          </w:tcPr>
          <w:p w14:paraId="29DCB7D6"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Target fill weight (mg)</w:t>
            </w:r>
          </w:p>
        </w:tc>
        <w:tc>
          <w:tcPr>
            <w:tcW w:w="1387" w:type="dxa"/>
          </w:tcPr>
          <w:p w14:paraId="13854B89"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Puck hole diameter (mm)</w:t>
            </w:r>
          </w:p>
        </w:tc>
        <w:tc>
          <w:tcPr>
            <w:tcW w:w="1328" w:type="dxa"/>
          </w:tcPr>
          <w:p w14:paraId="7BAF827C"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Average fill weight (mg)</w:t>
            </w:r>
          </w:p>
        </w:tc>
        <w:tc>
          <w:tcPr>
            <w:tcW w:w="1510" w:type="dxa"/>
          </w:tcPr>
          <w:p w14:paraId="172DC656"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Puck content uniformity (%)</w:t>
            </w:r>
          </w:p>
        </w:tc>
        <w:tc>
          <w:tcPr>
            <w:tcW w:w="1264" w:type="dxa"/>
          </w:tcPr>
          <w:p w14:paraId="521E8B50"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DD (mg)</w:t>
            </w:r>
          </w:p>
        </w:tc>
        <w:tc>
          <w:tcPr>
            <w:tcW w:w="1167" w:type="dxa"/>
          </w:tcPr>
          <w:p w14:paraId="78D34D22" w14:textId="77777777" w:rsidR="00C148C3" w:rsidRPr="009E1CED" w:rsidRDefault="00C148C3" w:rsidP="00A313DF">
            <w:pPr>
              <w:widowControl w:val="0"/>
              <w:autoSpaceDE w:val="0"/>
              <w:autoSpaceDN w:val="0"/>
              <w:adjustRightIn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FPM (mg)</w:t>
            </w:r>
          </w:p>
        </w:tc>
        <w:tc>
          <w:tcPr>
            <w:tcW w:w="1167" w:type="dxa"/>
          </w:tcPr>
          <w:p w14:paraId="5D42FFB8" w14:textId="77777777" w:rsidR="00C148C3" w:rsidRPr="009E1CED" w:rsidRDefault="00C148C3" w:rsidP="00A313DF">
            <w:pPr>
              <w:widowControl w:val="0"/>
              <w:autoSpaceDE w:val="0"/>
              <w:autoSpaceDN w:val="0"/>
              <w:adjustRightInd w:val="0"/>
              <w:snapToGrid w:val="0"/>
              <w:spacing w:before="24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aps w:val="0"/>
                <w:color w:val="000000"/>
                <w:sz w:val="20"/>
                <w:szCs w:val="20"/>
              </w:rPr>
              <w:t>FPF (%)</w:t>
            </w:r>
          </w:p>
        </w:tc>
      </w:tr>
      <w:tr w:rsidR="00C148C3" w:rsidRPr="009E1CED" w14:paraId="6255F51E" w14:textId="77777777" w:rsidTr="00A313DF">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693" w:type="dxa"/>
            <w:vMerge w:val="restart"/>
            <w:vAlign w:val="center"/>
          </w:tcPr>
          <w:p w14:paraId="6CF19942"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r w:rsidRPr="009E1CED">
              <w:rPr>
                <w:rFonts w:ascii="Arial" w:hAnsi="Arial" w:cs="Arial"/>
                <w:caps w:val="0"/>
                <w:color w:val="000000"/>
                <w:sz w:val="20"/>
                <w:szCs w:val="20"/>
              </w:rPr>
              <w:t>Blend 1</w:t>
            </w:r>
          </w:p>
        </w:tc>
        <w:tc>
          <w:tcPr>
            <w:tcW w:w="1110" w:type="dxa"/>
            <w:vAlign w:val="center"/>
          </w:tcPr>
          <w:p w14:paraId="0B915D02"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sz w:val="20"/>
                <w:szCs w:val="20"/>
              </w:rPr>
              <w:t>125</w:t>
            </w:r>
          </w:p>
        </w:tc>
        <w:tc>
          <w:tcPr>
            <w:tcW w:w="1387" w:type="dxa"/>
            <w:vAlign w:val="center"/>
          </w:tcPr>
          <w:p w14:paraId="62A9DC15"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sz w:val="20"/>
                <w:szCs w:val="20"/>
              </w:rPr>
              <w:t>0.6</w:t>
            </w:r>
          </w:p>
        </w:tc>
        <w:tc>
          <w:tcPr>
            <w:tcW w:w="1328" w:type="dxa"/>
            <w:vAlign w:val="center"/>
          </w:tcPr>
          <w:p w14:paraId="296D00F9"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sz w:val="20"/>
                <w:szCs w:val="20"/>
              </w:rPr>
              <w:t>127.79 (1.56%)</w:t>
            </w:r>
          </w:p>
        </w:tc>
        <w:tc>
          <w:tcPr>
            <w:tcW w:w="1510" w:type="dxa"/>
            <w:vAlign w:val="center"/>
          </w:tcPr>
          <w:p w14:paraId="55CB2726"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sz w:val="20"/>
                <w:szCs w:val="20"/>
              </w:rPr>
              <w:t>N/A</w:t>
            </w:r>
          </w:p>
        </w:tc>
        <w:tc>
          <w:tcPr>
            <w:tcW w:w="1264" w:type="dxa"/>
            <w:vAlign w:val="center"/>
          </w:tcPr>
          <w:p w14:paraId="6DA9BCB6"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17.29 </w:t>
            </w:r>
            <w:r w:rsidRPr="009E1CED">
              <w:rPr>
                <w:rFonts w:ascii="Arial" w:hAnsi="Arial" w:cs="Arial"/>
                <w:sz w:val="20"/>
                <w:szCs w:val="20"/>
              </w:rPr>
              <w:t xml:space="preserve">± </w:t>
            </w:r>
            <w:r w:rsidRPr="009E1CED">
              <w:rPr>
                <w:rFonts w:ascii="Arial" w:hAnsi="Arial" w:cs="Arial"/>
                <w:color w:val="000000"/>
                <w:sz w:val="20"/>
                <w:szCs w:val="20"/>
              </w:rPr>
              <w:t>4.18</w:t>
            </w:r>
          </w:p>
        </w:tc>
        <w:tc>
          <w:tcPr>
            <w:tcW w:w="1167" w:type="dxa"/>
            <w:vAlign w:val="center"/>
          </w:tcPr>
          <w:p w14:paraId="23B97F24"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10.23 </w:t>
            </w:r>
            <w:r w:rsidRPr="009E1CED">
              <w:rPr>
                <w:rFonts w:ascii="Arial" w:hAnsi="Arial" w:cs="Arial"/>
                <w:sz w:val="20"/>
                <w:szCs w:val="20"/>
              </w:rPr>
              <w:t xml:space="preserve">± </w:t>
            </w:r>
            <w:r w:rsidRPr="009E1CED">
              <w:rPr>
                <w:rFonts w:ascii="Arial" w:hAnsi="Arial" w:cs="Arial"/>
                <w:color w:val="000000"/>
                <w:sz w:val="20"/>
                <w:szCs w:val="20"/>
              </w:rPr>
              <w:t>2.21</w:t>
            </w:r>
          </w:p>
        </w:tc>
        <w:tc>
          <w:tcPr>
            <w:tcW w:w="1167" w:type="dxa"/>
            <w:vAlign w:val="center"/>
          </w:tcPr>
          <w:p w14:paraId="1E4F46A5"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59.46 </w:t>
            </w:r>
            <w:r w:rsidRPr="009E1CED">
              <w:rPr>
                <w:rFonts w:ascii="Arial" w:hAnsi="Arial" w:cs="Arial"/>
                <w:sz w:val="20"/>
                <w:szCs w:val="20"/>
              </w:rPr>
              <w:t xml:space="preserve">± </w:t>
            </w:r>
            <w:r w:rsidRPr="009E1CED">
              <w:rPr>
                <w:rFonts w:ascii="Arial" w:hAnsi="Arial" w:cs="Arial"/>
                <w:color w:val="000000"/>
                <w:sz w:val="20"/>
                <w:szCs w:val="20"/>
              </w:rPr>
              <w:t>3.74</w:t>
            </w:r>
          </w:p>
        </w:tc>
      </w:tr>
      <w:tr w:rsidR="00C148C3" w:rsidRPr="009E1CED" w14:paraId="371F81FF" w14:textId="77777777" w:rsidTr="00A313DF">
        <w:trPr>
          <w:trHeight w:val="138"/>
          <w:jc w:val="center"/>
        </w:trPr>
        <w:tc>
          <w:tcPr>
            <w:cnfStyle w:val="001000000000" w:firstRow="0" w:lastRow="0" w:firstColumn="1" w:lastColumn="0" w:oddVBand="0" w:evenVBand="0" w:oddHBand="0" w:evenHBand="0" w:firstRowFirstColumn="0" w:firstRowLastColumn="0" w:lastRowFirstColumn="0" w:lastRowLastColumn="0"/>
            <w:tcW w:w="693" w:type="dxa"/>
            <w:vMerge/>
            <w:tcBorders>
              <w:bottom w:val="single" w:sz="4" w:space="0" w:color="7F7F7F" w:themeColor="text1" w:themeTint="80"/>
            </w:tcBorders>
          </w:tcPr>
          <w:p w14:paraId="16A95D30"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p>
        </w:tc>
        <w:tc>
          <w:tcPr>
            <w:tcW w:w="1110" w:type="dxa"/>
            <w:tcBorders>
              <w:bottom w:val="single" w:sz="4" w:space="0" w:color="7F7F7F" w:themeColor="text1" w:themeTint="80"/>
            </w:tcBorders>
            <w:vAlign w:val="center"/>
          </w:tcPr>
          <w:p w14:paraId="7A68B361"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kern w:val="24"/>
                <w:sz w:val="20"/>
                <w:szCs w:val="20"/>
              </w:rPr>
              <w:t>125</w:t>
            </w:r>
          </w:p>
        </w:tc>
        <w:tc>
          <w:tcPr>
            <w:tcW w:w="1387" w:type="dxa"/>
            <w:tcBorders>
              <w:bottom w:val="single" w:sz="4" w:space="0" w:color="7F7F7F" w:themeColor="text1" w:themeTint="80"/>
            </w:tcBorders>
            <w:vAlign w:val="center"/>
          </w:tcPr>
          <w:p w14:paraId="1DB6923E"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color w:val="000000"/>
                <w:sz w:val="20"/>
                <w:szCs w:val="20"/>
              </w:rPr>
              <w:t>0.9</w:t>
            </w:r>
          </w:p>
        </w:tc>
        <w:tc>
          <w:tcPr>
            <w:tcW w:w="1328" w:type="dxa"/>
            <w:tcBorders>
              <w:bottom w:val="single" w:sz="4" w:space="0" w:color="7F7F7F" w:themeColor="text1" w:themeTint="80"/>
            </w:tcBorders>
            <w:vAlign w:val="center"/>
          </w:tcPr>
          <w:p w14:paraId="00150DB3"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sz w:val="20"/>
                <w:szCs w:val="20"/>
              </w:rPr>
              <w:t>125.59 (3.20%)</w:t>
            </w:r>
          </w:p>
        </w:tc>
        <w:tc>
          <w:tcPr>
            <w:tcW w:w="1510" w:type="dxa"/>
            <w:tcBorders>
              <w:bottom w:val="single" w:sz="4" w:space="0" w:color="7F7F7F" w:themeColor="text1" w:themeTint="80"/>
            </w:tcBorders>
            <w:vAlign w:val="center"/>
          </w:tcPr>
          <w:p w14:paraId="42BB2FD8"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sz w:val="20"/>
                <w:szCs w:val="20"/>
              </w:rPr>
              <w:t>N/A</w:t>
            </w:r>
          </w:p>
        </w:tc>
        <w:tc>
          <w:tcPr>
            <w:tcW w:w="1264" w:type="dxa"/>
            <w:tcBorders>
              <w:bottom w:val="single" w:sz="4" w:space="0" w:color="7F7F7F" w:themeColor="text1" w:themeTint="80"/>
            </w:tcBorders>
            <w:vAlign w:val="center"/>
          </w:tcPr>
          <w:p w14:paraId="22274491"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34.28 </w:t>
            </w:r>
            <w:r w:rsidRPr="009E1CED">
              <w:rPr>
                <w:rFonts w:ascii="Arial" w:hAnsi="Arial" w:cs="Arial"/>
                <w:sz w:val="20"/>
                <w:szCs w:val="20"/>
              </w:rPr>
              <w:t xml:space="preserve">± </w:t>
            </w:r>
            <w:r w:rsidRPr="009E1CED">
              <w:rPr>
                <w:rFonts w:ascii="Arial" w:hAnsi="Arial" w:cs="Arial"/>
                <w:color w:val="000000"/>
                <w:sz w:val="20"/>
                <w:szCs w:val="20"/>
              </w:rPr>
              <w:t>4.71</w:t>
            </w:r>
          </w:p>
        </w:tc>
        <w:tc>
          <w:tcPr>
            <w:tcW w:w="1167" w:type="dxa"/>
            <w:tcBorders>
              <w:bottom w:val="single" w:sz="4" w:space="0" w:color="7F7F7F" w:themeColor="text1" w:themeTint="80"/>
            </w:tcBorders>
            <w:vAlign w:val="center"/>
          </w:tcPr>
          <w:p w14:paraId="577E40A5"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18.06 </w:t>
            </w:r>
            <w:r w:rsidRPr="009E1CED">
              <w:rPr>
                <w:rFonts w:ascii="Arial" w:hAnsi="Arial" w:cs="Arial"/>
                <w:sz w:val="20"/>
                <w:szCs w:val="20"/>
              </w:rPr>
              <w:t xml:space="preserve">± </w:t>
            </w:r>
            <w:r w:rsidRPr="009E1CED">
              <w:rPr>
                <w:rFonts w:ascii="Arial" w:hAnsi="Arial" w:cs="Arial"/>
                <w:color w:val="000000"/>
                <w:sz w:val="20"/>
                <w:szCs w:val="20"/>
              </w:rPr>
              <w:t>2.25</w:t>
            </w:r>
          </w:p>
        </w:tc>
        <w:tc>
          <w:tcPr>
            <w:tcW w:w="1167" w:type="dxa"/>
            <w:tcBorders>
              <w:bottom w:val="single" w:sz="4" w:space="0" w:color="7F7F7F" w:themeColor="text1" w:themeTint="80"/>
            </w:tcBorders>
            <w:vAlign w:val="center"/>
          </w:tcPr>
          <w:p w14:paraId="2182EF35"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52.53 </w:t>
            </w:r>
            <w:r w:rsidRPr="009E1CED">
              <w:rPr>
                <w:rFonts w:ascii="Arial" w:hAnsi="Arial" w:cs="Arial"/>
                <w:sz w:val="20"/>
                <w:szCs w:val="20"/>
              </w:rPr>
              <w:t xml:space="preserve">± </w:t>
            </w:r>
            <w:r w:rsidRPr="009E1CED">
              <w:rPr>
                <w:rFonts w:ascii="Arial" w:hAnsi="Arial" w:cs="Arial"/>
                <w:color w:val="000000"/>
                <w:sz w:val="20"/>
                <w:szCs w:val="20"/>
              </w:rPr>
              <w:t>3.85</w:t>
            </w:r>
          </w:p>
        </w:tc>
      </w:tr>
      <w:tr w:rsidR="00C148C3" w:rsidRPr="009E1CED" w14:paraId="0C7C401E" w14:textId="77777777" w:rsidTr="00A313D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693" w:type="dxa"/>
            <w:vMerge w:val="restart"/>
            <w:tcBorders>
              <w:top w:val="single" w:sz="4" w:space="0" w:color="7F7F7F" w:themeColor="text1" w:themeTint="80"/>
            </w:tcBorders>
            <w:vAlign w:val="center"/>
          </w:tcPr>
          <w:p w14:paraId="4ECAE0E3"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r w:rsidRPr="009E1CED">
              <w:rPr>
                <w:rFonts w:ascii="Arial" w:hAnsi="Arial" w:cs="Arial"/>
                <w:caps w:val="0"/>
                <w:color w:val="000000"/>
                <w:sz w:val="20"/>
                <w:szCs w:val="20"/>
              </w:rPr>
              <w:t>Blend 2</w:t>
            </w:r>
          </w:p>
        </w:tc>
        <w:tc>
          <w:tcPr>
            <w:tcW w:w="1110" w:type="dxa"/>
            <w:tcBorders>
              <w:top w:val="single" w:sz="4" w:space="0" w:color="7F7F7F" w:themeColor="text1" w:themeTint="80"/>
            </w:tcBorders>
            <w:vAlign w:val="center"/>
          </w:tcPr>
          <w:p w14:paraId="582248B8"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bCs/>
                <w:kern w:val="24"/>
                <w:sz w:val="20"/>
                <w:szCs w:val="20"/>
              </w:rPr>
              <w:t>125</w:t>
            </w:r>
          </w:p>
        </w:tc>
        <w:tc>
          <w:tcPr>
            <w:tcW w:w="1387" w:type="dxa"/>
            <w:tcBorders>
              <w:top w:val="single" w:sz="4" w:space="0" w:color="7F7F7F" w:themeColor="text1" w:themeTint="80"/>
            </w:tcBorders>
            <w:vAlign w:val="center"/>
          </w:tcPr>
          <w:p w14:paraId="364C9608"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sz w:val="20"/>
                <w:szCs w:val="20"/>
              </w:rPr>
              <w:t>0.6</w:t>
            </w:r>
          </w:p>
        </w:tc>
        <w:tc>
          <w:tcPr>
            <w:tcW w:w="1328" w:type="dxa"/>
            <w:tcBorders>
              <w:top w:val="single" w:sz="4" w:space="0" w:color="7F7F7F" w:themeColor="text1" w:themeTint="80"/>
            </w:tcBorders>
            <w:vAlign w:val="center"/>
          </w:tcPr>
          <w:p w14:paraId="33248CEB"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sz w:val="20"/>
                <w:szCs w:val="20"/>
              </w:rPr>
              <w:t>123.26 (2.05%)</w:t>
            </w:r>
          </w:p>
        </w:tc>
        <w:tc>
          <w:tcPr>
            <w:tcW w:w="1510" w:type="dxa"/>
            <w:tcBorders>
              <w:top w:val="single" w:sz="4" w:space="0" w:color="7F7F7F" w:themeColor="text1" w:themeTint="80"/>
            </w:tcBorders>
            <w:vAlign w:val="center"/>
          </w:tcPr>
          <w:p w14:paraId="1C3EEF50"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sz w:val="20"/>
                <w:szCs w:val="20"/>
              </w:rPr>
              <w:t>99.72 ± 2.59</w:t>
            </w:r>
          </w:p>
        </w:tc>
        <w:tc>
          <w:tcPr>
            <w:tcW w:w="1264" w:type="dxa"/>
            <w:tcBorders>
              <w:top w:val="single" w:sz="4" w:space="0" w:color="7F7F7F" w:themeColor="text1" w:themeTint="80"/>
            </w:tcBorders>
            <w:vAlign w:val="center"/>
          </w:tcPr>
          <w:p w14:paraId="356F7EAB"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20.78 </w:t>
            </w:r>
            <w:r w:rsidRPr="009E1CED">
              <w:rPr>
                <w:rFonts w:ascii="Arial" w:hAnsi="Arial" w:cs="Arial"/>
                <w:sz w:val="20"/>
                <w:szCs w:val="20"/>
              </w:rPr>
              <w:t xml:space="preserve">± </w:t>
            </w:r>
            <w:r w:rsidRPr="009E1CED">
              <w:rPr>
                <w:rFonts w:ascii="Arial" w:hAnsi="Arial" w:cs="Arial"/>
                <w:color w:val="000000"/>
                <w:sz w:val="20"/>
                <w:szCs w:val="20"/>
              </w:rPr>
              <w:t>1.28</w:t>
            </w:r>
          </w:p>
        </w:tc>
        <w:tc>
          <w:tcPr>
            <w:tcW w:w="1167" w:type="dxa"/>
            <w:tcBorders>
              <w:top w:val="single" w:sz="4" w:space="0" w:color="7F7F7F" w:themeColor="text1" w:themeTint="80"/>
            </w:tcBorders>
            <w:vAlign w:val="center"/>
          </w:tcPr>
          <w:p w14:paraId="115B3F37"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8.11 </w:t>
            </w:r>
            <w:r w:rsidRPr="009E1CED">
              <w:rPr>
                <w:rFonts w:ascii="Arial" w:hAnsi="Arial" w:cs="Arial"/>
                <w:sz w:val="20"/>
                <w:szCs w:val="20"/>
              </w:rPr>
              <w:t xml:space="preserve">± </w:t>
            </w:r>
            <w:r w:rsidRPr="009E1CED">
              <w:rPr>
                <w:rFonts w:ascii="Arial" w:hAnsi="Arial" w:cs="Arial"/>
                <w:color w:val="000000"/>
                <w:sz w:val="20"/>
                <w:szCs w:val="20"/>
              </w:rPr>
              <w:t>0.32</w:t>
            </w:r>
          </w:p>
        </w:tc>
        <w:tc>
          <w:tcPr>
            <w:tcW w:w="1167" w:type="dxa"/>
            <w:tcBorders>
              <w:top w:val="single" w:sz="4" w:space="0" w:color="7F7F7F" w:themeColor="text1" w:themeTint="80"/>
            </w:tcBorders>
            <w:vAlign w:val="center"/>
          </w:tcPr>
          <w:p w14:paraId="7494D354"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38.59 </w:t>
            </w:r>
            <w:r w:rsidRPr="009E1CED">
              <w:rPr>
                <w:rFonts w:ascii="Arial" w:hAnsi="Arial" w:cs="Arial"/>
                <w:sz w:val="20"/>
                <w:szCs w:val="20"/>
              </w:rPr>
              <w:t xml:space="preserve">± </w:t>
            </w:r>
            <w:r w:rsidRPr="009E1CED">
              <w:rPr>
                <w:rFonts w:ascii="Arial" w:hAnsi="Arial" w:cs="Arial"/>
                <w:color w:val="000000"/>
                <w:sz w:val="20"/>
                <w:szCs w:val="20"/>
              </w:rPr>
              <w:t>2.45</w:t>
            </w:r>
          </w:p>
        </w:tc>
      </w:tr>
      <w:tr w:rsidR="00C148C3" w:rsidRPr="009E1CED" w14:paraId="0B787CBD" w14:textId="77777777" w:rsidTr="00A313DF">
        <w:trPr>
          <w:trHeight w:val="186"/>
          <w:jc w:val="center"/>
        </w:trPr>
        <w:tc>
          <w:tcPr>
            <w:cnfStyle w:val="001000000000" w:firstRow="0" w:lastRow="0" w:firstColumn="1" w:lastColumn="0" w:oddVBand="0" w:evenVBand="0" w:oddHBand="0" w:evenHBand="0" w:firstRowFirstColumn="0" w:firstRowLastColumn="0" w:lastRowFirstColumn="0" w:lastRowLastColumn="0"/>
            <w:tcW w:w="693" w:type="dxa"/>
            <w:vMerge/>
          </w:tcPr>
          <w:p w14:paraId="15B48974"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p>
        </w:tc>
        <w:tc>
          <w:tcPr>
            <w:tcW w:w="1110" w:type="dxa"/>
            <w:vAlign w:val="center"/>
          </w:tcPr>
          <w:p w14:paraId="4A09F6B7"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kern w:val="24"/>
                <w:sz w:val="20"/>
                <w:szCs w:val="20"/>
              </w:rPr>
              <w:t>125</w:t>
            </w:r>
          </w:p>
        </w:tc>
        <w:tc>
          <w:tcPr>
            <w:tcW w:w="1387" w:type="dxa"/>
            <w:vAlign w:val="center"/>
          </w:tcPr>
          <w:p w14:paraId="7B4AA092"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color w:val="000000"/>
                <w:sz w:val="20"/>
                <w:szCs w:val="20"/>
              </w:rPr>
              <w:t>0.9</w:t>
            </w:r>
          </w:p>
        </w:tc>
        <w:tc>
          <w:tcPr>
            <w:tcW w:w="1328" w:type="dxa"/>
            <w:vAlign w:val="center"/>
          </w:tcPr>
          <w:p w14:paraId="78FEF5ED"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124.19 (2.45%)</w:t>
            </w:r>
          </w:p>
        </w:tc>
        <w:tc>
          <w:tcPr>
            <w:tcW w:w="1510" w:type="dxa"/>
            <w:vAlign w:val="center"/>
          </w:tcPr>
          <w:p w14:paraId="682D6CB9"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 xml:space="preserve">99.38 </w:t>
            </w:r>
            <w:r w:rsidRPr="009E1CED">
              <w:rPr>
                <w:rFonts w:ascii="Arial" w:hAnsi="Arial" w:cs="Arial"/>
                <w:sz w:val="20"/>
                <w:szCs w:val="20"/>
              </w:rPr>
              <w:t xml:space="preserve">± </w:t>
            </w:r>
            <w:r w:rsidRPr="009E1CED">
              <w:rPr>
                <w:rFonts w:ascii="Arial" w:hAnsi="Arial" w:cs="Arial"/>
                <w:bCs/>
                <w:color w:val="000000"/>
                <w:kern w:val="24"/>
                <w:sz w:val="20"/>
                <w:szCs w:val="20"/>
              </w:rPr>
              <w:t>0.36</w:t>
            </w:r>
          </w:p>
        </w:tc>
        <w:tc>
          <w:tcPr>
            <w:tcW w:w="1264" w:type="dxa"/>
            <w:vAlign w:val="center"/>
          </w:tcPr>
          <w:p w14:paraId="31B0D724"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27.84 </w:t>
            </w:r>
            <w:r w:rsidRPr="009E1CED">
              <w:rPr>
                <w:rFonts w:ascii="Arial" w:hAnsi="Arial" w:cs="Arial"/>
                <w:sz w:val="20"/>
                <w:szCs w:val="20"/>
              </w:rPr>
              <w:t xml:space="preserve">± </w:t>
            </w:r>
            <w:r w:rsidRPr="009E1CED">
              <w:rPr>
                <w:rFonts w:ascii="Arial" w:hAnsi="Arial" w:cs="Arial"/>
                <w:color w:val="000000"/>
                <w:sz w:val="20"/>
                <w:szCs w:val="20"/>
              </w:rPr>
              <w:t>1.54</w:t>
            </w:r>
          </w:p>
        </w:tc>
        <w:tc>
          <w:tcPr>
            <w:tcW w:w="1167" w:type="dxa"/>
            <w:vAlign w:val="center"/>
          </w:tcPr>
          <w:p w14:paraId="683A4310"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9.83 </w:t>
            </w:r>
            <w:r w:rsidRPr="009E1CED">
              <w:rPr>
                <w:rFonts w:ascii="Arial" w:hAnsi="Arial" w:cs="Arial"/>
                <w:sz w:val="20"/>
                <w:szCs w:val="20"/>
              </w:rPr>
              <w:t xml:space="preserve">± </w:t>
            </w:r>
            <w:r w:rsidRPr="009E1CED">
              <w:rPr>
                <w:rFonts w:ascii="Arial" w:hAnsi="Arial" w:cs="Arial"/>
                <w:color w:val="000000"/>
                <w:sz w:val="20"/>
                <w:szCs w:val="20"/>
              </w:rPr>
              <w:t>0.06</w:t>
            </w:r>
          </w:p>
        </w:tc>
        <w:tc>
          <w:tcPr>
            <w:tcW w:w="1167" w:type="dxa"/>
            <w:vAlign w:val="center"/>
          </w:tcPr>
          <w:p w14:paraId="1E2BA57D"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35.04 </w:t>
            </w:r>
            <w:r w:rsidRPr="009E1CED">
              <w:rPr>
                <w:rFonts w:ascii="Arial" w:hAnsi="Arial" w:cs="Arial"/>
                <w:sz w:val="20"/>
                <w:szCs w:val="20"/>
              </w:rPr>
              <w:t xml:space="preserve">± </w:t>
            </w:r>
            <w:r w:rsidRPr="009E1CED">
              <w:rPr>
                <w:rFonts w:ascii="Arial" w:hAnsi="Arial" w:cs="Arial"/>
                <w:color w:val="000000"/>
                <w:sz w:val="20"/>
                <w:szCs w:val="20"/>
              </w:rPr>
              <w:t>2.95</w:t>
            </w:r>
          </w:p>
        </w:tc>
      </w:tr>
      <w:tr w:rsidR="00C148C3" w:rsidRPr="009E1CED" w14:paraId="4263718D" w14:textId="77777777" w:rsidTr="00A313D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693" w:type="dxa"/>
            <w:vMerge/>
          </w:tcPr>
          <w:p w14:paraId="28560759"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p>
        </w:tc>
        <w:tc>
          <w:tcPr>
            <w:tcW w:w="1110" w:type="dxa"/>
            <w:vAlign w:val="center"/>
          </w:tcPr>
          <w:p w14:paraId="0764AD03"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bCs/>
                <w:kern w:val="24"/>
                <w:sz w:val="20"/>
                <w:szCs w:val="20"/>
              </w:rPr>
              <w:t>250</w:t>
            </w:r>
          </w:p>
        </w:tc>
        <w:tc>
          <w:tcPr>
            <w:tcW w:w="1387" w:type="dxa"/>
            <w:vAlign w:val="center"/>
          </w:tcPr>
          <w:p w14:paraId="3C4E1119" w14:textId="77777777" w:rsidR="00C148C3" w:rsidRPr="009E1CED" w:rsidRDefault="00C148C3" w:rsidP="00A313DF">
            <w:pPr>
              <w:widowControl w:val="0"/>
              <w:autoSpaceDE w:val="0"/>
              <w:autoSpaceDN w:val="0"/>
              <w:adjustRightInd w:val="0"/>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rPr>
            </w:pPr>
            <w:r w:rsidRPr="009E1CED">
              <w:rPr>
                <w:rFonts w:ascii="Arial" w:hAnsi="Arial" w:cs="Arial"/>
                <w:sz w:val="20"/>
                <w:szCs w:val="20"/>
              </w:rPr>
              <w:t>0.6</w:t>
            </w:r>
          </w:p>
        </w:tc>
        <w:tc>
          <w:tcPr>
            <w:tcW w:w="1328" w:type="dxa"/>
            <w:vAlign w:val="center"/>
          </w:tcPr>
          <w:p w14:paraId="19F2D117"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256.98 (3.00%)</w:t>
            </w:r>
          </w:p>
        </w:tc>
        <w:tc>
          <w:tcPr>
            <w:tcW w:w="1510" w:type="dxa"/>
            <w:vAlign w:val="center"/>
          </w:tcPr>
          <w:p w14:paraId="134C0D24"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98.59*</w:t>
            </w:r>
          </w:p>
        </w:tc>
        <w:tc>
          <w:tcPr>
            <w:tcW w:w="1264" w:type="dxa"/>
            <w:vAlign w:val="center"/>
          </w:tcPr>
          <w:p w14:paraId="67A0D0E1"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23.39  </w:t>
            </w:r>
            <w:r w:rsidRPr="009E1CED">
              <w:rPr>
                <w:rFonts w:ascii="Arial" w:hAnsi="Arial" w:cs="Arial"/>
                <w:sz w:val="20"/>
                <w:szCs w:val="20"/>
              </w:rPr>
              <w:t xml:space="preserve">± </w:t>
            </w:r>
            <w:r w:rsidRPr="009E1CED">
              <w:rPr>
                <w:rFonts w:ascii="Arial" w:hAnsi="Arial" w:cs="Arial"/>
                <w:color w:val="000000"/>
                <w:sz w:val="20"/>
                <w:szCs w:val="20"/>
              </w:rPr>
              <w:t>0.71</w:t>
            </w:r>
          </w:p>
        </w:tc>
        <w:tc>
          <w:tcPr>
            <w:tcW w:w="1167" w:type="dxa"/>
            <w:vAlign w:val="center"/>
          </w:tcPr>
          <w:p w14:paraId="1F7A276D"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9.37 </w:t>
            </w:r>
            <w:r w:rsidRPr="009E1CED">
              <w:rPr>
                <w:rFonts w:ascii="Arial" w:hAnsi="Arial" w:cs="Arial"/>
                <w:sz w:val="20"/>
                <w:szCs w:val="20"/>
              </w:rPr>
              <w:t xml:space="preserve">± </w:t>
            </w:r>
            <w:r w:rsidRPr="009E1CED">
              <w:rPr>
                <w:rFonts w:ascii="Arial" w:hAnsi="Arial" w:cs="Arial"/>
                <w:color w:val="000000"/>
                <w:sz w:val="20"/>
                <w:szCs w:val="20"/>
              </w:rPr>
              <w:t>0.34</w:t>
            </w:r>
          </w:p>
        </w:tc>
        <w:tc>
          <w:tcPr>
            <w:tcW w:w="1167" w:type="dxa"/>
            <w:vAlign w:val="center"/>
          </w:tcPr>
          <w:p w14:paraId="2C47325A" w14:textId="77777777" w:rsidR="00C148C3" w:rsidRPr="009E1CED" w:rsidRDefault="00C148C3" w:rsidP="00A313DF">
            <w:pPr>
              <w:spacing w:before="24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39.89 </w:t>
            </w:r>
            <w:r w:rsidRPr="009E1CED">
              <w:rPr>
                <w:rFonts w:ascii="Arial" w:hAnsi="Arial" w:cs="Arial"/>
                <w:sz w:val="20"/>
                <w:szCs w:val="20"/>
              </w:rPr>
              <w:t xml:space="preserve">± </w:t>
            </w:r>
            <w:r w:rsidRPr="009E1CED">
              <w:rPr>
                <w:rFonts w:ascii="Arial" w:hAnsi="Arial" w:cs="Arial"/>
                <w:color w:val="000000"/>
                <w:sz w:val="20"/>
                <w:szCs w:val="20"/>
              </w:rPr>
              <w:t>1.86</w:t>
            </w:r>
          </w:p>
        </w:tc>
      </w:tr>
      <w:tr w:rsidR="00C148C3" w:rsidRPr="009E1CED" w14:paraId="120570A5" w14:textId="77777777" w:rsidTr="00A313DF">
        <w:trPr>
          <w:trHeight w:val="186"/>
          <w:jc w:val="center"/>
        </w:trPr>
        <w:tc>
          <w:tcPr>
            <w:cnfStyle w:val="001000000000" w:firstRow="0" w:lastRow="0" w:firstColumn="1" w:lastColumn="0" w:oddVBand="0" w:evenVBand="0" w:oddHBand="0" w:evenHBand="0" w:firstRowFirstColumn="0" w:firstRowLastColumn="0" w:lastRowFirstColumn="0" w:lastRowLastColumn="0"/>
            <w:tcW w:w="693" w:type="dxa"/>
            <w:vMerge/>
          </w:tcPr>
          <w:p w14:paraId="7C07F34E" w14:textId="77777777" w:rsidR="00C148C3" w:rsidRPr="009E1CED" w:rsidRDefault="00C148C3" w:rsidP="00A313DF">
            <w:pPr>
              <w:widowControl w:val="0"/>
              <w:autoSpaceDE w:val="0"/>
              <w:autoSpaceDN w:val="0"/>
              <w:adjustRightInd w:val="0"/>
              <w:spacing w:before="240" w:after="0"/>
              <w:jc w:val="center"/>
              <w:rPr>
                <w:rFonts w:ascii="Arial" w:hAnsi="Arial" w:cs="Arial"/>
                <w:color w:val="000000"/>
                <w:sz w:val="20"/>
                <w:szCs w:val="20"/>
              </w:rPr>
            </w:pPr>
          </w:p>
        </w:tc>
        <w:tc>
          <w:tcPr>
            <w:tcW w:w="1110" w:type="dxa"/>
            <w:vAlign w:val="center"/>
          </w:tcPr>
          <w:p w14:paraId="580DE34E"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kern w:val="24"/>
                <w:sz w:val="20"/>
                <w:szCs w:val="20"/>
              </w:rPr>
              <w:t>250</w:t>
            </w:r>
          </w:p>
        </w:tc>
        <w:tc>
          <w:tcPr>
            <w:tcW w:w="1387" w:type="dxa"/>
            <w:vAlign w:val="center"/>
          </w:tcPr>
          <w:p w14:paraId="27D61DCD" w14:textId="77777777" w:rsidR="00C148C3" w:rsidRPr="009E1CED" w:rsidRDefault="00C148C3" w:rsidP="00A313DF">
            <w:pPr>
              <w:widowControl w:val="0"/>
              <w:autoSpaceDE w:val="0"/>
              <w:autoSpaceDN w:val="0"/>
              <w:adjustRightInd w:val="0"/>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9E1CED">
              <w:rPr>
                <w:rFonts w:ascii="Arial" w:hAnsi="Arial" w:cs="Arial"/>
                <w:bCs/>
                <w:color w:val="000000"/>
                <w:sz w:val="20"/>
                <w:szCs w:val="20"/>
              </w:rPr>
              <w:t>0.9</w:t>
            </w:r>
          </w:p>
        </w:tc>
        <w:tc>
          <w:tcPr>
            <w:tcW w:w="1328" w:type="dxa"/>
            <w:vAlign w:val="center"/>
          </w:tcPr>
          <w:p w14:paraId="5C41FB9E"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253.91 (1.94%)</w:t>
            </w:r>
          </w:p>
        </w:tc>
        <w:tc>
          <w:tcPr>
            <w:tcW w:w="1510" w:type="dxa"/>
            <w:vAlign w:val="center"/>
          </w:tcPr>
          <w:p w14:paraId="6A5EB470"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bCs/>
                <w:color w:val="000000"/>
                <w:kern w:val="24"/>
                <w:sz w:val="20"/>
                <w:szCs w:val="20"/>
              </w:rPr>
              <w:t xml:space="preserve">98.52 </w:t>
            </w:r>
            <w:r w:rsidRPr="009E1CED">
              <w:rPr>
                <w:rFonts w:ascii="Arial" w:hAnsi="Arial" w:cs="Arial"/>
                <w:sz w:val="20"/>
                <w:szCs w:val="20"/>
              </w:rPr>
              <w:t xml:space="preserve">± </w:t>
            </w:r>
            <w:r w:rsidRPr="009E1CED">
              <w:rPr>
                <w:rFonts w:ascii="Arial" w:hAnsi="Arial" w:cs="Arial"/>
                <w:bCs/>
                <w:color w:val="000000"/>
                <w:kern w:val="24"/>
                <w:sz w:val="20"/>
                <w:szCs w:val="20"/>
              </w:rPr>
              <w:t>0.05</w:t>
            </w:r>
          </w:p>
        </w:tc>
        <w:tc>
          <w:tcPr>
            <w:tcW w:w="1264" w:type="dxa"/>
            <w:vAlign w:val="center"/>
          </w:tcPr>
          <w:p w14:paraId="4E3D16EF"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33.53 </w:t>
            </w:r>
            <w:r w:rsidRPr="009E1CED">
              <w:rPr>
                <w:rFonts w:ascii="Arial" w:hAnsi="Arial" w:cs="Arial"/>
                <w:sz w:val="20"/>
                <w:szCs w:val="20"/>
              </w:rPr>
              <w:t xml:space="preserve">± </w:t>
            </w:r>
            <w:r w:rsidRPr="009E1CED">
              <w:rPr>
                <w:rFonts w:ascii="Arial" w:hAnsi="Arial" w:cs="Arial"/>
                <w:color w:val="000000"/>
                <w:sz w:val="20"/>
                <w:szCs w:val="20"/>
              </w:rPr>
              <w:t>0.50</w:t>
            </w:r>
          </w:p>
        </w:tc>
        <w:tc>
          <w:tcPr>
            <w:tcW w:w="1167" w:type="dxa"/>
            <w:vAlign w:val="center"/>
          </w:tcPr>
          <w:p w14:paraId="18A5BE65"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12.50 </w:t>
            </w:r>
            <w:r w:rsidRPr="009E1CED">
              <w:rPr>
                <w:rFonts w:ascii="Arial" w:hAnsi="Arial" w:cs="Arial"/>
                <w:sz w:val="20"/>
                <w:szCs w:val="20"/>
              </w:rPr>
              <w:t xml:space="preserve">± </w:t>
            </w:r>
            <w:r w:rsidRPr="009E1CED">
              <w:rPr>
                <w:rFonts w:ascii="Arial" w:hAnsi="Arial" w:cs="Arial"/>
                <w:color w:val="000000"/>
                <w:sz w:val="20"/>
                <w:szCs w:val="20"/>
              </w:rPr>
              <w:t>0.89</w:t>
            </w:r>
          </w:p>
        </w:tc>
        <w:tc>
          <w:tcPr>
            <w:tcW w:w="1167" w:type="dxa"/>
            <w:vAlign w:val="center"/>
          </w:tcPr>
          <w:p w14:paraId="2985EDED" w14:textId="77777777" w:rsidR="00C148C3" w:rsidRPr="009E1CED" w:rsidRDefault="00C148C3" w:rsidP="00A313DF">
            <w:pPr>
              <w:spacing w:before="24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E1CED">
              <w:rPr>
                <w:rFonts w:ascii="Arial" w:hAnsi="Arial" w:cs="Arial"/>
                <w:color w:val="000000"/>
                <w:sz w:val="20"/>
                <w:szCs w:val="20"/>
              </w:rPr>
              <w:t xml:space="preserve">37.31 </w:t>
            </w:r>
            <w:r w:rsidRPr="009E1CED">
              <w:rPr>
                <w:rFonts w:ascii="Arial" w:hAnsi="Arial" w:cs="Arial"/>
                <w:sz w:val="20"/>
                <w:szCs w:val="20"/>
              </w:rPr>
              <w:t xml:space="preserve">± </w:t>
            </w:r>
            <w:r w:rsidRPr="009E1CED">
              <w:rPr>
                <w:rFonts w:ascii="Arial" w:hAnsi="Arial" w:cs="Arial"/>
                <w:color w:val="000000"/>
                <w:sz w:val="20"/>
                <w:szCs w:val="20"/>
              </w:rPr>
              <w:t>2.66</w:t>
            </w:r>
          </w:p>
        </w:tc>
      </w:tr>
    </w:tbl>
    <w:p w14:paraId="75BF31B8" w14:textId="77777777" w:rsidR="00C148C3" w:rsidRPr="009E1CED" w:rsidRDefault="00C148C3" w:rsidP="00C148C3">
      <w:pPr>
        <w:pStyle w:val="DDLBodyText"/>
        <w:jc w:val="left"/>
        <w:rPr>
          <w:rFonts w:cs="Arial"/>
          <w:sz w:val="20"/>
        </w:rPr>
      </w:pPr>
      <w:r w:rsidRPr="009E1CED">
        <w:rPr>
          <w:rFonts w:cs="Arial"/>
          <w:sz w:val="20"/>
        </w:rPr>
        <w:t>*n=1</w:t>
      </w:r>
    </w:p>
    <w:p w14:paraId="42E3607F" w14:textId="77777777" w:rsidR="00C148C3" w:rsidRPr="009E1CED" w:rsidRDefault="00C148C3" w:rsidP="00C148C3">
      <w:pPr>
        <w:pStyle w:val="DDLBodyText"/>
        <w:ind w:hanging="426"/>
        <w:rPr>
          <w:rFonts w:cs="Arial"/>
          <w:sz w:val="20"/>
        </w:rPr>
      </w:pPr>
      <w:r w:rsidRPr="009E1CED">
        <w:rPr>
          <w:rFonts w:cs="Arial"/>
          <w:noProof/>
          <w:sz w:val="20"/>
          <w:lang w:eastAsia="zh-CN"/>
        </w:rPr>
        <w:drawing>
          <wp:inline distT="0" distB="0" distL="0" distR="0" wp14:anchorId="4A40F645" wp14:editId="393499FF">
            <wp:extent cx="6311467" cy="1641763"/>
            <wp:effectExtent l="0" t="0" r="0" b="0"/>
            <wp:docPr id="6" name="Picture 6"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ine, diagram, plot, parallel&#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617"/>
                    <a:stretch/>
                  </pic:blipFill>
                  <pic:spPr bwMode="auto">
                    <a:xfrm>
                      <a:off x="0" y="0"/>
                      <a:ext cx="6419742" cy="1669928"/>
                    </a:xfrm>
                    <a:prstGeom prst="rect">
                      <a:avLst/>
                    </a:prstGeom>
                    <a:noFill/>
                    <a:ln>
                      <a:noFill/>
                    </a:ln>
                    <a:extLst>
                      <a:ext uri="{53640926-AAD7-44D8-BBD7-CCE9431645EC}">
                        <a14:shadowObscured xmlns:a14="http://schemas.microsoft.com/office/drawing/2010/main"/>
                      </a:ext>
                    </a:extLst>
                  </pic:spPr>
                </pic:pic>
              </a:graphicData>
            </a:graphic>
          </wp:inline>
        </w:drawing>
      </w:r>
    </w:p>
    <w:p w14:paraId="27F9BD55" w14:textId="77777777" w:rsidR="00C148C3" w:rsidRPr="009E1CED" w:rsidRDefault="00C148C3" w:rsidP="00C148C3">
      <w:pPr>
        <w:pStyle w:val="DDLCaption"/>
        <w:rPr>
          <w:rFonts w:cs="Arial"/>
          <w:sz w:val="20"/>
          <w:szCs w:val="20"/>
        </w:rPr>
      </w:pPr>
      <w:r w:rsidRPr="009E1CED">
        <w:rPr>
          <w:rFonts w:cs="Arial"/>
          <w:sz w:val="20"/>
          <w:szCs w:val="20"/>
        </w:rPr>
        <w:t xml:space="preserve">Figure 1. Delivered mass as cumulative percentage for 5 consecutive inhalation acts: panel A (Blend 1) and panel B (Blend 2). </w:t>
      </w:r>
    </w:p>
    <w:p w14:paraId="32E12D83" w14:textId="77777777" w:rsidR="00C148C3" w:rsidRPr="009E1CED" w:rsidRDefault="00C148C3" w:rsidP="00C148C3">
      <w:pPr>
        <w:pStyle w:val="DDLBodyText"/>
        <w:rPr>
          <w:rFonts w:cs="Arial"/>
          <w:sz w:val="20"/>
        </w:rPr>
      </w:pPr>
      <w:r w:rsidRPr="009E1CED">
        <w:rPr>
          <w:rFonts w:cs="Arial"/>
          <w:sz w:val="20"/>
        </w:rPr>
        <w:t>The regional deposition model (RMD) showed that less FP was deposited into the extra thoracic (ET) region for Blend 1 when compared to Blend 2 (Figure 2), as expected from the higher FPM reported by Blend 1. In addition, and inverse correlation was observed in terms of ET versus alveolar (AI) deposition between the 0.6 and 0.9 mm puck, again independently of the fill weight for Blend 2.</w:t>
      </w:r>
    </w:p>
    <w:p w14:paraId="039BC6F2" w14:textId="77777777" w:rsidR="00C148C3" w:rsidRPr="009E1CED" w:rsidRDefault="00C148C3" w:rsidP="00C148C3">
      <w:pPr>
        <w:pStyle w:val="DDLBodyText"/>
        <w:jc w:val="center"/>
        <w:rPr>
          <w:rFonts w:cs="Arial"/>
          <w:sz w:val="20"/>
        </w:rPr>
      </w:pPr>
      <w:r w:rsidRPr="009E1CED">
        <w:rPr>
          <w:rFonts w:cs="Arial"/>
          <w:noProof/>
          <w:sz w:val="20"/>
          <w:lang w:eastAsia="zh-CN"/>
        </w:rPr>
        <w:lastRenderedPageBreak/>
        <w:drawing>
          <wp:inline distT="0" distB="0" distL="0" distR="0" wp14:anchorId="320498D0" wp14:editId="756740D8">
            <wp:extent cx="5576867" cy="1647371"/>
            <wp:effectExtent l="0" t="0" r="5080" b="0"/>
            <wp:docPr id="8" name="Picture 8"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icyc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9221" cy="1656928"/>
                    </a:xfrm>
                    <a:prstGeom prst="rect">
                      <a:avLst/>
                    </a:prstGeom>
                    <a:noFill/>
                  </pic:spPr>
                </pic:pic>
              </a:graphicData>
            </a:graphic>
          </wp:inline>
        </w:drawing>
      </w:r>
    </w:p>
    <w:p w14:paraId="0A2BE8EA" w14:textId="77777777" w:rsidR="00C148C3" w:rsidRPr="009E1CED" w:rsidRDefault="00C148C3" w:rsidP="00C148C3">
      <w:pPr>
        <w:pStyle w:val="DDLCaption"/>
        <w:rPr>
          <w:rFonts w:cs="Arial"/>
          <w:sz w:val="20"/>
          <w:szCs w:val="20"/>
        </w:rPr>
      </w:pPr>
      <w:r w:rsidRPr="009E1CED">
        <w:rPr>
          <w:rFonts w:cs="Arial"/>
          <w:sz w:val="20"/>
          <w:szCs w:val="20"/>
        </w:rPr>
        <w:t>Figure 2. RDM: percentage (%) of FP deposition in the lung generations for the different blends and puck/fill weight combinations.</w:t>
      </w:r>
    </w:p>
    <w:p w14:paraId="519318EC" w14:textId="77777777" w:rsidR="00C148C3" w:rsidRPr="009E1CED" w:rsidRDefault="00C148C3" w:rsidP="00C148C3">
      <w:pPr>
        <w:pStyle w:val="DDLHeading1"/>
        <w:rPr>
          <w:rFonts w:cs="Arial"/>
          <w:color w:val="000000" w:themeColor="text1"/>
          <w:sz w:val="20"/>
          <w:szCs w:val="20"/>
        </w:rPr>
      </w:pPr>
      <w:r w:rsidRPr="009E1CED">
        <w:rPr>
          <w:rFonts w:cs="Arial"/>
          <w:color w:val="000000" w:themeColor="text1"/>
          <w:sz w:val="20"/>
          <w:szCs w:val="20"/>
        </w:rPr>
        <w:t>Conclusion</w:t>
      </w:r>
    </w:p>
    <w:p w14:paraId="132FED41" w14:textId="77777777" w:rsidR="00C148C3" w:rsidRPr="009E1CED" w:rsidRDefault="00C148C3" w:rsidP="00C148C3">
      <w:pPr>
        <w:pStyle w:val="DDLBodyText"/>
        <w:rPr>
          <w:rFonts w:cs="Arial"/>
          <w:sz w:val="20"/>
        </w:rPr>
      </w:pPr>
      <w:r w:rsidRPr="009E1CED">
        <w:rPr>
          <w:rFonts w:cs="Arial"/>
          <w:sz w:val="20"/>
        </w:rPr>
        <w:t>Orbital was successfully automatically filled by drum delivering consistent high performing, high payload DPI formulations of FP, a model cohesive API. The results obtained showed that formulation characteristics, drug load, mixing technology, and puck orifice diameter presented the biggest influence in the aerosolization performance.  Next steps will focus on developing larger drum sizes which will allow to fill high doses of low density powders. Moreover, a comparison between manual and drum filled Orbital device with a range of powders presenting different physical and aerodynamic characteristics will be carried out.</w:t>
      </w:r>
    </w:p>
    <w:p w14:paraId="30AD9016" w14:textId="77777777" w:rsidR="00C148C3" w:rsidRPr="009E1CED" w:rsidRDefault="00C148C3" w:rsidP="00C148C3">
      <w:pPr>
        <w:pStyle w:val="DDLHeading1"/>
        <w:rPr>
          <w:rFonts w:cs="Arial"/>
          <w:color w:val="000000" w:themeColor="text1"/>
          <w:sz w:val="20"/>
          <w:szCs w:val="20"/>
          <w:lang w:val="en-US"/>
        </w:rPr>
      </w:pPr>
      <w:r w:rsidRPr="009E1CED">
        <w:rPr>
          <w:rFonts w:cs="Arial"/>
          <w:color w:val="000000" w:themeColor="text1"/>
          <w:sz w:val="20"/>
          <w:szCs w:val="20"/>
          <w:lang w:val="en-US"/>
        </w:rPr>
        <w:t>References</w:t>
      </w:r>
    </w:p>
    <w:p w14:paraId="0D7D5BAF" w14:textId="77777777" w:rsidR="00C148C3" w:rsidRPr="009E1CED" w:rsidRDefault="00C148C3" w:rsidP="00C148C3">
      <w:pPr>
        <w:pStyle w:val="ListParagraph"/>
        <w:widowControl w:val="0"/>
        <w:numPr>
          <w:ilvl w:val="0"/>
          <w:numId w:val="3"/>
        </w:numPr>
        <w:autoSpaceDE w:val="0"/>
        <w:autoSpaceDN w:val="0"/>
        <w:adjustRightInd w:val="0"/>
        <w:spacing w:after="240" w:line="240" w:lineRule="auto"/>
        <w:jc w:val="both"/>
        <w:rPr>
          <w:rFonts w:ascii="Arial" w:eastAsia="Times New Roman" w:hAnsi="Arial" w:cs="Arial"/>
          <w:b/>
          <w:bCs/>
          <w:kern w:val="32"/>
          <w:sz w:val="20"/>
          <w:szCs w:val="20"/>
          <w:lang w:val="en-US" w:eastAsia="en-GB"/>
        </w:rPr>
      </w:pPr>
      <w:r w:rsidRPr="009E1CED">
        <w:rPr>
          <w:rFonts w:ascii="Arial" w:eastAsia="Times New Roman" w:hAnsi="Arial" w:cs="Arial"/>
          <w:b/>
          <w:bCs/>
          <w:kern w:val="32"/>
          <w:sz w:val="20"/>
          <w:szCs w:val="20"/>
          <w:lang w:eastAsia="en-GB"/>
        </w:rPr>
        <w:t xml:space="preserve">Young P.M. et al. </w:t>
      </w:r>
      <w:r w:rsidRPr="009E1CED">
        <w:rPr>
          <w:rFonts w:ascii="Arial" w:eastAsia="Times New Roman" w:hAnsi="Arial" w:cs="Arial"/>
          <w:b/>
          <w:bCs/>
          <w:kern w:val="32"/>
          <w:sz w:val="20"/>
          <w:szCs w:val="20"/>
          <w:lang w:val="en-US" w:eastAsia="en-GB"/>
        </w:rPr>
        <w:t>J Aerosol Med Pulm 26(0), 1-10 (2013).</w:t>
      </w:r>
    </w:p>
    <w:p w14:paraId="1D330B30" w14:textId="77777777" w:rsidR="00C148C3" w:rsidRPr="009E1CED" w:rsidRDefault="00C148C3" w:rsidP="00C148C3">
      <w:pPr>
        <w:pStyle w:val="ListParagraph"/>
        <w:widowControl w:val="0"/>
        <w:numPr>
          <w:ilvl w:val="0"/>
          <w:numId w:val="3"/>
        </w:numPr>
        <w:autoSpaceDE w:val="0"/>
        <w:autoSpaceDN w:val="0"/>
        <w:adjustRightInd w:val="0"/>
        <w:spacing w:after="240" w:line="240" w:lineRule="auto"/>
        <w:jc w:val="both"/>
        <w:rPr>
          <w:rFonts w:ascii="Arial" w:eastAsia="Times New Roman" w:hAnsi="Arial" w:cs="Arial"/>
          <w:b/>
          <w:bCs/>
          <w:kern w:val="32"/>
          <w:sz w:val="20"/>
          <w:szCs w:val="20"/>
          <w:lang w:eastAsia="en-GB"/>
        </w:rPr>
      </w:pPr>
      <w:r w:rsidRPr="009E1CED">
        <w:rPr>
          <w:rFonts w:ascii="Arial" w:eastAsia="Times New Roman" w:hAnsi="Arial" w:cs="Arial"/>
          <w:b/>
          <w:bCs/>
          <w:kern w:val="32"/>
          <w:sz w:val="20"/>
          <w:szCs w:val="20"/>
          <w:lang w:val="fr-FR" w:eastAsia="en-GB"/>
        </w:rPr>
        <w:t xml:space="preserve">Koner J.S. et al. </w:t>
      </w:r>
      <w:r w:rsidRPr="009E1CED">
        <w:rPr>
          <w:rFonts w:ascii="Arial" w:eastAsia="Times New Roman" w:hAnsi="Arial" w:cs="Arial"/>
          <w:b/>
          <w:bCs/>
          <w:kern w:val="32"/>
          <w:sz w:val="20"/>
          <w:szCs w:val="20"/>
          <w:lang w:eastAsia="en-GB"/>
        </w:rPr>
        <w:t>Drug Delivery to the Lungs, Volume 33 (2022).</w:t>
      </w:r>
    </w:p>
    <w:p w14:paraId="62DA175B" w14:textId="77777777" w:rsidR="00C148C3" w:rsidRPr="009E1CED" w:rsidRDefault="00C148C3" w:rsidP="001F6FEE">
      <w:pPr>
        <w:jc w:val="both"/>
        <w:rPr>
          <w:rFonts w:ascii="Arial" w:hAnsi="Arial" w:cs="Arial"/>
          <w:b/>
          <w:bCs/>
          <w:sz w:val="20"/>
          <w:szCs w:val="20"/>
        </w:rPr>
      </w:pPr>
    </w:p>
    <w:p w14:paraId="2D72CCF3" w14:textId="77777777" w:rsidR="00C148C3" w:rsidRPr="009E1CED" w:rsidRDefault="00C148C3" w:rsidP="001F6FEE">
      <w:pPr>
        <w:jc w:val="both"/>
        <w:rPr>
          <w:rFonts w:ascii="Arial" w:hAnsi="Arial" w:cs="Arial"/>
          <w:b/>
          <w:bCs/>
          <w:sz w:val="20"/>
          <w:szCs w:val="20"/>
        </w:rPr>
      </w:pPr>
    </w:p>
    <w:p w14:paraId="6DCD8796" w14:textId="77777777" w:rsidR="00C148C3" w:rsidRPr="009E1CED" w:rsidRDefault="00C148C3" w:rsidP="001F6FEE">
      <w:pPr>
        <w:jc w:val="both"/>
        <w:rPr>
          <w:rFonts w:ascii="Arial" w:hAnsi="Arial" w:cs="Arial"/>
          <w:b/>
          <w:bCs/>
          <w:sz w:val="20"/>
          <w:szCs w:val="20"/>
        </w:rPr>
      </w:pPr>
    </w:p>
    <w:p w14:paraId="6CF2D4C1" w14:textId="77777777" w:rsidR="005323F4" w:rsidRPr="009E1CED" w:rsidRDefault="005323F4" w:rsidP="001F6FEE">
      <w:pPr>
        <w:jc w:val="both"/>
        <w:rPr>
          <w:rFonts w:ascii="Arial" w:hAnsi="Arial" w:cs="Arial"/>
          <w:b/>
          <w:bCs/>
          <w:sz w:val="20"/>
          <w:szCs w:val="20"/>
        </w:rPr>
      </w:pPr>
    </w:p>
    <w:p w14:paraId="2AC852E2" w14:textId="77777777" w:rsidR="005323F4" w:rsidRPr="009E1CED" w:rsidRDefault="005323F4" w:rsidP="001F6FEE">
      <w:pPr>
        <w:jc w:val="both"/>
        <w:rPr>
          <w:rFonts w:ascii="Arial" w:hAnsi="Arial" w:cs="Arial"/>
          <w:b/>
          <w:bCs/>
          <w:sz w:val="20"/>
          <w:szCs w:val="20"/>
        </w:rPr>
      </w:pPr>
    </w:p>
    <w:p w14:paraId="108B15BD" w14:textId="77777777" w:rsidR="005323F4" w:rsidRPr="009E1CED" w:rsidRDefault="005323F4" w:rsidP="001F6FEE">
      <w:pPr>
        <w:jc w:val="both"/>
        <w:rPr>
          <w:rFonts w:ascii="Arial" w:hAnsi="Arial" w:cs="Arial"/>
          <w:b/>
          <w:bCs/>
          <w:sz w:val="20"/>
          <w:szCs w:val="20"/>
        </w:rPr>
      </w:pPr>
    </w:p>
    <w:p w14:paraId="69467C38" w14:textId="77777777" w:rsidR="005323F4" w:rsidRPr="009E1CED" w:rsidRDefault="005323F4" w:rsidP="001F6FEE">
      <w:pPr>
        <w:jc w:val="both"/>
        <w:rPr>
          <w:rFonts w:ascii="Arial" w:hAnsi="Arial" w:cs="Arial"/>
          <w:b/>
          <w:bCs/>
          <w:sz w:val="20"/>
          <w:szCs w:val="20"/>
        </w:rPr>
      </w:pPr>
    </w:p>
    <w:p w14:paraId="4F755826" w14:textId="77777777" w:rsidR="005323F4" w:rsidRPr="009E1CED" w:rsidRDefault="005323F4" w:rsidP="001F6FEE">
      <w:pPr>
        <w:jc w:val="both"/>
        <w:rPr>
          <w:rFonts w:ascii="Arial" w:hAnsi="Arial" w:cs="Arial"/>
          <w:b/>
          <w:bCs/>
          <w:sz w:val="20"/>
          <w:szCs w:val="20"/>
        </w:rPr>
      </w:pPr>
    </w:p>
    <w:p w14:paraId="618C60DC" w14:textId="77777777" w:rsidR="005323F4" w:rsidRPr="009E1CED" w:rsidRDefault="005323F4" w:rsidP="001F6FEE">
      <w:pPr>
        <w:jc w:val="both"/>
        <w:rPr>
          <w:rFonts w:ascii="Arial" w:hAnsi="Arial" w:cs="Arial"/>
          <w:b/>
          <w:bCs/>
          <w:sz w:val="20"/>
          <w:szCs w:val="20"/>
        </w:rPr>
      </w:pPr>
    </w:p>
    <w:p w14:paraId="21A47ABF" w14:textId="77777777" w:rsidR="005323F4" w:rsidRPr="009E1CED" w:rsidRDefault="005323F4" w:rsidP="001F6FEE">
      <w:pPr>
        <w:jc w:val="both"/>
        <w:rPr>
          <w:rFonts w:ascii="Arial" w:hAnsi="Arial" w:cs="Arial"/>
          <w:b/>
          <w:bCs/>
          <w:sz w:val="20"/>
          <w:szCs w:val="20"/>
        </w:rPr>
      </w:pPr>
    </w:p>
    <w:p w14:paraId="7D723756" w14:textId="77777777" w:rsidR="005323F4" w:rsidRPr="009E1CED" w:rsidRDefault="005323F4" w:rsidP="001F6FEE">
      <w:pPr>
        <w:jc w:val="both"/>
        <w:rPr>
          <w:rFonts w:ascii="Arial" w:hAnsi="Arial" w:cs="Arial"/>
          <w:b/>
          <w:bCs/>
          <w:sz w:val="20"/>
          <w:szCs w:val="20"/>
        </w:rPr>
      </w:pPr>
    </w:p>
    <w:p w14:paraId="25153206" w14:textId="77777777" w:rsidR="005323F4" w:rsidRPr="009E1CED" w:rsidRDefault="005323F4" w:rsidP="001F6FEE">
      <w:pPr>
        <w:jc w:val="both"/>
        <w:rPr>
          <w:rFonts w:ascii="Arial" w:hAnsi="Arial" w:cs="Arial"/>
          <w:b/>
          <w:bCs/>
          <w:sz w:val="20"/>
          <w:szCs w:val="20"/>
        </w:rPr>
      </w:pPr>
    </w:p>
    <w:p w14:paraId="073AE01C" w14:textId="77777777" w:rsidR="005323F4" w:rsidRPr="009E1CED" w:rsidRDefault="005323F4" w:rsidP="001F6FEE">
      <w:pPr>
        <w:jc w:val="both"/>
        <w:rPr>
          <w:rFonts w:ascii="Arial" w:hAnsi="Arial" w:cs="Arial"/>
          <w:b/>
          <w:bCs/>
          <w:sz w:val="20"/>
          <w:szCs w:val="20"/>
        </w:rPr>
      </w:pPr>
    </w:p>
    <w:p w14:paraId="37289FBF" w14:textId="77777777" w:rsidR="005323F4" w:rsidRPr="009E1CED" w:rsidRDefault="005323F4" w:rsidP="001F6FEE">
      <w:pPr>
        <w:jc w:val="both"/>
        <w:rPr>
          <w:rFonts w:ascii="Arial" w:hAnsi="Arial" w:cs="Arial"/>
          <w:b/>
          <w:bCs/>
          <w:sz w:val="20"/>
          <w:szCs w:val="20"/>
        </w:rPr>
      </w:pPr>
    </w:p>
    <w:p w14:paraId="0A64FCC9" w14:textId="77777777" w:rsidR="005323F4" w:rsidRPr="009E1CED" w:rsidRDefault="005323F4" w:rsidP="001F6FEE">
      <w:pPr>
        <w:jc w:val="both"/>
        <w:rPr>
          <w:rFonts w:ascii="Arial" w:hAnsi="Arial" w:cs="Arial"/>
          <w:b/>
          <w:bCs/>
          <w:sz w:val="20"/>
          <w:szCs w:val="20"/>
        </w:rPr>
      </w:pPr>
    </w:p>
    <w:p w14:paraId="1183308D" w14:textId="77777777" w:rsidR="005323F4" w:rsidRPr="009E1CED" w:rsidRDefault="005323F4" w:rsidP="001F6FEE">
      <w:pPr>
        <w:jc w:val="both"/>
        <w:rPr>
          <w:rFonts w:ascii="Arial" w:hAnsi="Arial" w:cs="Arial"/>
          <w:b/>
          <w:bCs/>
          <w:sz w:val="20"/>
          <w:szCs w:val="20"/>
        </w:rPr>
      </w:pPr>
    </w:p>
    <w:p w14:paraId="5BDD7427" w14:textId="77777777" w:rsidR="005323F4" w:rsidRPr="009E1CED" w:rsidRDefault="005323F4" w:rsidP="001F6FEE">
      <w:pPr>
        <w:jc w:val="both"/>
        <w:rPr>
          <w:rFonts w:ascii="Arial" w:hAnsi="Arial" w:cs="Arial"/>
          <w:b/>
          <w:bCs/>
          <w:sz w:val="20"/>
          <w:szCs w:val="20"/>
        </w:rPr>
      </w:pPr>
    </w:p>
    <w:p w14:paraId="5ACB20F5" w14:textId="77777777" w:rsidR="005323F4" w:rsidRPr="009E1CED" w:rsidRDefault="005323F4" w:rsidP="005323F4">
      <w:pPr>
        <w:jc w:val="both"/>
        <w:rPr>
          <w:rFonts w:ascii="Arial" w:hAnsi="Arial" w:cs="Arial"/>
          <w:b/>
          <w:bCs/>
          <w:sz w:val="20"/>
          <w:szCs w:val="20"/>
        </w:rPr>
      </w:pPr>
      <w:r w:rsidRPr="009E1CED">
        <w:rPr>
          <w:rFonts w:ascii="Arial" w:hAnsi="Arial" w:cs="Arial"/>
          <w:b/>
          <w:bCs/>
          <w:sz w:val="20"/>
          <w:szCs w:val="20"/>
        </w:rPr>
        <w:lastRenderedPageBreak/>
        <w:t>Poster Presentation</w:t>
      </w:r>
    </w:p>
    <w:p w14:paraId="19CE5EB2" w14:textId="77777777" w:rsidR="005323F4" w:rsidRPr="009E1CED" w:rsidRDefault="00000000" w:rsidP="005323F4">
      <w:pPr>
        <w:pStyle w:val="DDLTitle"/>
        <w:rPr>
          <w:rFonts w:cs="Arial"/>
          <w:sz w:val="20"/>
          <w:szCs w:val="20"/>
        </w:rPr>
      </w:pPr>
      <w:sdt>
        <w:sdtPr>
          <w:rPr>
            <w:rFonts w:cs="Arial"/>
            <w:sz w:val="20"/>
            <w:szCs w:val="20"/>
          </w:rPr>
          <w:alias w:val="Title"/>
          <w:tag w:val="Title"/>
          <w:id w:val="-1419941068"/>
          <w:placeholder>
            <w:docPart w:val="657B9955B2EFDD4ABC4F3CE675E208C2"/>
          </w:placeholder>
        </w:sdtPr>
        <w:sdtContent>
          <w:r w:rsidR="005323F4" w:rsidRPr="009E1CED">
            <w:rPr>
              <w:rFonts w:cs="Arial"/>
              <w:sz w:val="20"/>
              <w:szCs w:val="20"/>
            </w:rPr>
            <w:t>The effects of nebuliser position and humidification on aerosol drug delivery during non-invasive ventilation of adult patients</w:t>
          </w:r>
        </w:sdtContent>
      </w:sdt>
      <w:r w:rsidR="005323F4" w:rsidRPr="009E1CED">
        <w:rPr>
          <w:rFonts w:cs="Arial"/>
          <w:sz w:val="20"/>
          <w:szCs w:val="20"/>
        </w:rPr>
        <w:t xml:space="preserve"> </w:t>
      </w:r>
    </w:p>
    <w:p w14:paraId="1D13805F" w14:textId="77777777" w:rsidR="005323F4" w:rsidRPr="009E1CED" w:rsidRDefault="00000000" w:rsidP="005323F4">
      <w:pPr>
        <w:pStyle w:val="DDLSubtitle"/>
        <w:rPr>
          <w:rFonts w:cs="Arial"/>
          <w:sz w:val="20"/>
          <w:szCs w:val="20"/>
        </w:rPr>
      </w:pPr>
      <w:sdt>
        <w:sdtPr>
          <w:rPr>
            <w:rFonts w:cs="Arial"/>
            <w:sz w:val="20"/>
            <w:szCs w:val="20"/>
            <w:u w:val="single"/>
          </w:rPr>
          <w:alias w:val="Main Author"/>
          <w:tag w:val="Main Author"/>
          <w:id w:val="-3445896"/>
          <w:placeholder>
            <w:docPart w:val="99E6CA4FDA93564F90C2572B98C0771B"/>
          </w:placeholder>
        </w:sdtPr>
        <w:sdtContent>
          <w:r w:rsidR="005323F4" w:rsidRPr="009E1CED">
            <w:rPr>
              <w:rFonts w:cs="Arial"/>
              <w:sz w:val="20"/>
              <w:szCs w:val="20"/>
            </w:rPr>
            <w:t>Stephen Hoctor</w:t>
          </w:r>
        </w:sdtContent>
      </w:sdt>
      <w:r w:rsidR="005323F4" w:rsidRPr="009E1CED">
        <w:rPr>
          <w:rFonts w:cs="Arial"/>
          <w:sz w:val="20"/>
          <w:szCs w:val="20"/>
        </w:rPr>
        <w:t xml:space="preserve">, Marc Mac Giolla Eain, Mary Joyce &amp; </w:t>
      </w:r>
      <w:r w:rsidR="005323F4" w:rsidRPr="009E1CED">
        <w:rPr>
          <w:rFonts w:cs="Arial"/>
          <w:sz w:val="20"/>
          <w:szCs w:val="20"/>
          <w:u w:val="single"/>
        </w:rPr>
        <w:t>Ronan MacLoughlin</w:t>
      </w:r>
    </w:p>
    <w:p w14:paraId="10308EB6" w14:textId="77777777" w:rsidR="005323F4" w:rsidRPr="009E1CED" w:rsidRDefault="005323F4" w:rsidP="005323F4">
      <w:pPr>
        <w:pStyle w:val="DDLAddress1"/>
        <w:rPr>
          <w:rFonts w:cs="Arial"/>
          <w:sz w:val="20"/>
          <w:szCs w:val="20"/>
        </w:rPr>
      </w:pPr>
      <w:r w:rsidRPr="009E1CED">
        <w:rPr>
          <w:rFonts w:cs="Arial"/>
          <w:sz w:val="20"/>
          <w:szCs w:val="20"/>
          <w:vertAlign w:val="superscript"/>
        </w:rPr>
        <w:t>1</w:t>
      </w:r>
      <w:r w:rsidRPr="009E1CED">
        <w:rPr>
          <w:rFonts w:cs="Arial"/>
          <w:sz w:val="20"/>
          <w:szCs w:val="20"/>
        </w:rPr>
        <w:t>R&amp;D Science and Emerging Technologies, Aerogen Ltd., Galway Business Park, Galway, Ireland.</w:t>
      </w:r>
    </w:p>
    <w:p w14:paraId="31DF998F" w14:textId="77777777" w:rsidR="005323F4" w:rsidRPr="009E1CED" w:rsidRDefault="005323F4" w:rsidP="005323F4">
      <w:pPr>
        <w:pStyle w:val="DDLHeading1"/>
        <w:rPr>
          <w:rFonts w:cs="Arial"/>
          <w:sz w:val="20"/>
          <w:szCs w:val="20"/>
        </w:rPr>
      </w:pPr>
      <w:r w:rsidRPr="009E1CED">
        <w:rPr>
          <w:rFonts w:cs="Arial"/>
          <w:sz w:val="20"/>
          <w:szCs w:val="20"/>
        </w:rPr>
        <w:t>Introduction</w:t>
      </w:r>
    </w:p>
    <w:p w14:paraId="6A12DAB0" w14:textId="77777777" w:rsidR="005323F4" w:rsidRPr="009E1CED" w:rsidRDefault="005323F4" w:rsidP="005323F4">
      <w:pPr>
        <w:pStyle w:val="DDLBodyText"/>
        <w:rPr>
          <w:rFonts w:cs="Arial"/>
          <w:sz w:val="20"/>
        </w:rPr>
      </w:pPr>
      <w:r w:rsidRPr="009E1CED">
        <w:rPr>
          <w:rFonts w:cs="Arial"/>
          <w:sz w:val="20"/>
        </w:rPr>
        <w:t xml:space="preserve">Non-invasive ventilation (NIV) has increasingly been used in the treatment of patients undergoing respiratory distress </w:t>
      </w:r>
      <w:r w:rsidRPr="009E1CED">
        <w:rPr>
          <w:rFonts w:cs="Arial"/>
          <w:sz w:val="20"/>
        </w:rPr>
        <w:fldChar w:fldCharType="begin" w:fldLock="1"/>
      </w:r>
      <w:r w:rsidRPr="009E1CED">
        <w:rPr>
          <w:rFonts w:cs="Arial"/>
          <w:sz w:val="20"/>
        </w:rPr>
        <w:instrText>ADDIN CSL_CITATION {"citationItems":[{"id":"ITEM-1","itemData":{"DOI":"10.1186/s12890-016-0347-5","ISBN":"1289001603475","ISSN":"14712466","PMID":"28068958","abstract":"Background: Few studies have investigated the factors affecting aerosol delivery during non-invasive ventilation (NIV). Our aim was to investigate, using a bench-top model, the effect of different ventilator settings and positions of the exhalation port and nebulizer on the amount of albuterol delivered to a lung simulator. Methods: A lung model simulating spontaneous breathing was connected to a single-limb NIV ventilator, set in bi-level positive airway pressure (BIPAP) with inspiratory/expiratory pressures of 10/5, 15/10, 15/5, and 20/10 cmH2O, or continuous positive airway pressure (CPAP) of 5 and 10 cmH2O. Three delivery circuits were tested: a vented mask with the nebulizer directly connected to the mask, and an unvented mask with a leak port placed before and after the nebulizer. Albuterol was collected on a filter placed after the mask and then the delivered amount was measured with infrared spectrophotometry. Results: Albuterol delivery during NIV varied between 6.7 ± 0.4% to 37.0 ± 4.3% of the nominal dose. The amount delivered in CPAP and BIPAP modes was similar (22.1 ± 10.1 vs. 24.0 ± 10.0%, p = 0.070). CPAP level did not affect delivery (p = 0.056); in BIPAP with 15/5 cmH2O pressure the delivery was higher compared to 10/5 cmH2O (p = 0.033) and 20/10 cmH2O (p = 0.014). Leak port position had a major effect on delivery in both CPAP and BIPAP, the best performances were obtained with the unvented mask, and the nebulizer placed between the leak port and the mask (p &lt; 0.001). Conclusions: In this model, albuterol delivery was marginally affected by ventilatory settings in NIV, while position of the leak port had a major effect. Nebulizers should be placed between an unvented mask and the leak port in order to maximize aerosol delivery.","author":[{"dropping-particle":"","family":"Sutherasan","given":"Yuda","non-dropping-particle":"","parse-names":false,"suffix":""},{"dropping-particle":"","family":"Ball","given":"Lorenzo","non-dropping-particle":"","parse-names":false,"suffix":""},{"dropping-particle":"","family":"Raimondo","given":"Pasquale","non-dropping-particle":"","parse-names":false,"suffix":""},{"dropping-particle":"","family":"Caratto","given":"Valentina","non-dropping-particle":"","parse-names":false,"suffix":""},{"dropping-particle":"","family":"Sanguineti","given":"Elisa","non-dropping-particle":"","parse-names":false,"suffix":""},{"dropping-particle":"","family":"Costantino","given":"Federico","non-dropping-particle":"","parse-names":false,"suffix":""},{"dropping-particle":"","family":"Ferretti","given":"Maurizio","non-dropping-particle":"","parse-names":false,"suffix":""},{"dropping-particle":"","family":"Kacmarek","given":"Robert M.","non-dropping-particle":"","parse-names":false,"suffix":""},{"dropping-particle":"","family":"Pelosi","given":"Paolo","non-dropping-particle":"","parse-names":false,"suffix":""}],"container-title":"BMC Pulmonary Medicine","id":"ITEM-1","issue":"1","issued":{"date-parts":[["2017"]]},"page":"4-9","publisher":"BMC Pulmonary Medicine","title":"Effects of ventilator settings, nebulizer and exhalation port position on albuterol delivery during non-invasive ventilation: An in-vitro study","type":"article-journal","volume":"17"},"uris":["http://www.mendeley.com/documents/?uuid=44af237b-37a4-4e1b-98e8-5ba6334054de"]}],"mendeley":{"formattedCitation":"[1]","plainTextFormattedCitation":"[1]","previouslyFormattedCitation":"[1]"},"properties":{"noteIndex":0},"schema":"https://github.com/citation-style-language/schema/raw/master/csl-citation.json"}</w:instrText>
      </w:r>
      <w:r w:rsidRPr="009E1CED">
        <w:rPr>
          <w:rFonts w:cs="Arial"/>
          <w:sz w:val="20"/>
        </w:rPr>
        <w:fldChar w:fldCharType="separate"/>
      </w:r>
      <w:r w:rsidRPr="009E1CED">
        <w:rPr>
          <w:rFonts w:cs="Arial"/>
          <w:noProof/>
          <w:sz w:val="20"/>
        </w:rPr>
        <w:t>[1]</w:t>
      </w:r>
      <w:r w:rsidRPr="009E1CED">
        <w:rPr>
          <w:rFonts w:cs="Arial"/>
          <w:sz w:val="20"/>
        </w:rPr>
        <w:fldChar w:fldCharType="end"/>
      </w:r>
      <w:r w:rsidRPr="009E1CED">
        <w:rPr>
          <w:rFonts w:cs="Arial"/>
          <w:sz w:val="20"/>
        </w:rPr>
        <w:t xml:space="preserve">. NIV provides an alternative method of supporting a patient’s breathing by using positive end-expiratory pressure (PEEP) with either an oronasal, nasal or facemask </w:t>
      </w:r>
      <w:r w:rsidRPr="009E1CED">
        <w:rPr>
          <w:rFonts w:cs="Arial"/>
          <w:sz w:val="20"/>
        </w:rPr>
        <w:fldChar w:fldCharType="begin" w:fldLock="1"/>
      </w:r>
      <w:r w:rsidRPr="009E1CED">
        <w:rPr>
          <w:rFonts w:cs="Arial"/>
          <w:sz w:val="20"/>
        </w:rPr>
        <w:instrText>ADDIN CSL_CITATION {"citationItems":[{"id":"ITEM-1","itemData":{"DOI":"10.1136/bmj.b1574","ISSN":"17561833","PMID":"19460803","abstract":"Objective: To summarise the evidence for early extubation with immediate application of non-invasive ventilation compared with continued invasive weaning on important outcomes in intubated adults with respiratory failure. Design: Systematic review and meta-analysis of randomised and quasi-randomised controlled trials. Setting: Intensive care units. Participants: Critically ill adults receiving invasive ventilation. Study selection criteria: We searched Medline, Embase, and CENTRAL, proceedings from four conferences, and reference lists of relevant studies to identify relevant trials. Two reviewers independently selected trials, assessed trial quality, and abstracted data. Results: We identified 12 trials enrolling 530 participants, mostly with chronic obstructive pulmonary disease. Compared with invasive weaning, non-invasive weaning was significantly associated with reduced mortality (relative risk 0.55, 95% confidence interval 0.38 to 0.79), ventilator associated pneumonia (0.29, 95% 0.19 to 0.45), length of stay in intensive care unit (weighted mean difference -6.27 days, -8.77 to -3.78) and hospital (-7.19 days, -10.80 to -3.58), total duration of ventilation, and duration of invasive ventilation. Non-invasive weaning had no effect on weaning failures or weaning time. Benefits on mortality and weaning failures were non-significantly greater in trials that exclusively enrolled patients with chronic obstructive pulmonary disease versus mixed populations. Conclusions: Current trials in critically ill adults show a consistent positive effect of non-invasive weaning on mortality and ventilator associated pneumonia, though the net clinical benefits remain to be fully elucidated. Non-invasive ventilation should preferentially be used in patients with chronic obstructive pulmonary disease in a highly monitored environment.","author":[{"dropping-particle":"","family":"Burns","given":"Karen E.A.","non-dropping-particle":"","parse-names":false,"suffix":""},{"dropping-particle":"","family":"Adhikari","given":"Neill K.J.","non-dropping-particle":"","parse-names":false,"suffix":""},{"dropping-particle":"","family":"Keenan","given":"Sean P.","non-dropping-particle":"","parse-names":false,"suffix":""},{"dropping-particle":"","family":"Meade","given":"Maureen","non-dropping-particle":"","parse-names":false,"suffix":""}],"container-title":"BMJ (Online)","id":"ITEM-1","issue":"7706","issued":{"date-parts":[["2009"]]},"page":"1305-1308","title":"Use of non-invasive ventilation to wean critically ill adults off invasive ventilation: Meta-analysis and systematic review","type":"article-journal","volume":"338"},"uris":["http://www.mendeley.com/documents/?uuid=aca829c8-5c93-4f8b-8d3b-f87e92e64c74"]}],"mendeley":{"formattedCitation":"[2]","plainTextFormattedCitation":"[2]","previouslyFormattedCitation":"[2]"},"properties":{"noteIndex":0},"schema":"https://github.com/citation-style-language/schema/raw/master/csl-citation.json"}</w:instrText>
      </w:r>
      <w:r w:rsidRPr="009E1CED">
        <w:rPr>
          <w:rFonts w:cs="Arial"/>
          <w:sz w:val="20"/>
        </w:rPr>
        <w:fldChar w:fldCharType="separate"/>
      </w:r>
      <w:r w:rsidRPr="009E1CED">
        <w:rPr>
          <w:rFonts w:cs="Arial"/>
          <w:noProof/>
          <w:sz w:val="20"/>
        </w:rPr>
        <w:t>[2]</w:t>
      </w:r>
      <w:r w:rsidRPr="009E1CED">
        <w:rPr>
          <w:rFonts w:cs="Arial"/>
          <w:sz w:val="20"/>
        </w:rPr>
        <w:fldChar w:fldCharType="end"/>
      </w:r>
      <w:r w:rsidRPr="009E1CED">
        <w:rPr>
          <w:rFonts w:cs="Arial"/>
          <w:sz w:val="20"/>
        </w:rPr>
        <w:t xml:space="preserve">. It has seen an increase in use in critical care units in an effort to limit endotracheal intubation and its associated complications </w:t>
      </w:r>
      <w:r w:rsidRPr="009E1CED">
        <w:rPr>
          <w:rFonts w:cs="Arial"/>
          <w:sz w:val="20"/>
        </w:rPr>
        <w:fldChar w:fldCharType="begin" w:fldLock="1"/>
      </w:r>
      <w:r w:rsidRPr="009E1CED">
        <w:rPr>
          <w:rFonts w:cs="Arial"/>
          <w:sz w:val="20"/>
        </w:rPr>
        <w:instrText>ADDIN CSL_CITATION {"citationItems":[{"id":"ITEM-1","itemData":{"DOI":"10.1513/AnnalsATS.201810-657CME","ISSN":"23256621","PMID":"31185181","abstract":"The role of noninvasive positive pressure ventilation (NIV) in severe chronic obstructive pulmonary disease (COPD) has been controversial. Over the past two decades, data primarily obtained from Europe have begun to define the clinical characteristics of patients likely to respond, the role of high-intensity NIV, and the potential best timing of initiating therapy. These approaches, however, have not been validated in the context of the U.S. healthcare delivery system. Use of NIV in severe COPD in the United States is limited by the practicalities of doing in-hospital titrations as well as a complex system of reimbursement. These systematic complexities, coupled with a still-emerging clinical trial database regarding the most effective means to deliver NIV, have led to persistent uncertainty regarding when in stable severe COPD treatment with NIV is actually appropriate. In this review, we propose an assessment algorithm and treatment plan that can be used in clinical practice in the United States, but we acknowledge that the absence of pivotal clinical trials largely precludes a robust evidence-based approach to this potentially valuable therapy.","author":[{"dropping-particle":"","family":"Hill","given":"N. S.","non-dropping-particle":"","parse-names":false,"suffix":""}],"container-title":"Respiratory Care","id":"ITEM-1","issue":"1","issued":{"date-parts":[["2004"]]},"page":"72 - 89","title":"Noninvasive ventilation in chronic obstructive pulmonary disease","type":"article-journal","volume":"49"},"uris":["http://www.mendeley.com/documents/?uuid=8338143f-fd15-4ced-a03e-465f3b8d0c2c"]}],"mendeley":{"formattedCitation":"[3]","plainTextFormattedCitation":"[3]","previouslyFormattedCitation":"[3]"},"properties":{"noteIndex":0},"schema":"https://github.com/citation-style-language/schema/raw/master/csl-citation.json"}</w:instrText>
      </w:r>
      <w:r w:rsidRPr="009E1CED">
        <w:rPr>
          <w:rFonts w:cs="Arial"/>
          <w:sz w:val="20"/>
        </w:rPr>
        <w:fldChar w:fldCharType="separate"/>
      </w:r>
      <w:r w:rsidRPr="009E1CED">
        <w:rPr>
          <w:rFonts w:cs="Arial"/>
          <w:noProof/>
          <w:sz w:val="20"/>
        </w:rPr>
        <w:t>[3]</w:t>
      </w:r>
      <w:r w:rsidRPr="009E1CED">
        <w:rPr>
          <w:rFonts w:cs="Arial"/>
          <w:sz w:val="20"/>
        </w:rPr>
        <w:fldChar w:fldCharType="end"/>
      </w:r>
      <w:r w:rsidRPr="009E1CED">
        <w:rPr>
          <w:rFonts w:cs="Arial"/>
          <w:sz w:val="20"/>
        </w:rPr>
        <w:t xml:space="preserve">. The use of concurrent aerosol delivery during non-invasive ventilation (NIV) may be exploited to facilitate delivery of a variety of prescribed medications for inhalation. There are numerous studies that have examined the factors that influence aerosol drug delivery in invasively ventilated patients </w:t>
      </w:r>
      <w:r w:rsidRPr="009E1CED">
        <w:rPr>
          <w:rFonts w:cs="Arial"/>
          <w:sz w:val="20"/>
        </w:rPr>
        <w:fldChar w:fldCharType="begin" w:fldLock="1"/>
      </w:r>
      <w:r w:rsidRPr="009E1CED">
        <w:rPr>
          <w:rFonts w:cs="Arial"/>
          <w:sz w:val="20"/>
        </w:rPr>
        <w:instrText>ADDIN CSL_CITATION {"citationItems":[{"id":"ITEM-1","itemData":{"ISSN":"00201324","PMID":"20587095","abstract":"BACKGROUND: The effectiveness of aerosol drug delivery during mechanical ventilation is influenced by the patient, ventilator, and nebulizer variables. The impact of nebulizer type, position on the ventilator circuit, and bias flow on aerosol drug delivery has not been established for different age populations. OBJECTIVE: To determine the influence of nebulizer position and bias flow with a jet nebulizer and a vibrating-mesh nebulizer on aerosol drug delivery in simulated and mechanically ventilated pediatric and adult patients. METHOD: Albuterol sulfate (2.5 mg) was nebulized with a jet nebulizer and a vibrating-mesh nebulizer, using simulated pediatric and adult lung models. The 2 nebulizer positions were: (1) jet nebulizer placed 15 cm from the Y-piece adapter, and vibrating-mesh nebulizer attached directly to the Y-piece; and (2) jet nebulizer placed prior to the heated humidifier with 15 cm of large-bore tubing, and vibrating-mesh nebulizer positioned at an inlet to the humidifier. A ventilator with a heated humidifier and ventilator circuit was utilized in both lung models. The adult ventilator settings were VT 500 mL, PEEP 5 cm H2O, respiratory rate 20 breaths/min, peak inspiratory flow 60 L/min, and descending ramp flow waveform. The pediatric ventilator settings were VT 100 mL, PEEP 5 cm H2O, respiratory rate 20 breaths/min, inspiratory time 1 s. We tested bias flows of 2 and 5 L/min. The adult and pediatric lung models used 8-mm and 5-mm inner-diameter endotracheal tubes, respectively. Each experiment was run 3 times (n = 3). The albuterol sulfate was eluted from the filter and analyzed via spectrophotometry (276 nm). RESULTS: Nebulizer placement prior to the humidifier increased drug delivery with both the jet nebulizer and the vibrating-mesh nebulizer, with a greater increase with the vibrating-mesh nebulizer. Higher bias flow reduced drug delivery. Drug delivery with the vibrating-mesh nebulizer was 2-4-fold greater than with the jet nebulizer at all positions (P &lt; .05) in both lung models. CONCLUSION: During simulated mechanical ventilation in pediatric and adult models, bias flow and nebulizer type and position impact aerosol drug delivery. © 2010 Daedalus Enterprises.","author":[{"dropping-particle":"","family":"Ari","given":"Arzu","non-dropping-particle":"","parse-names":false,"suffix":""},{"dropping-particle":"","family":"Atalay","given":"Orcin Telli","non-dropping-particle":"","parse-names":false,"suffix":""},{"dropping-particle":"","family":"Harwood","given":"Robert","non-dropping-particle":"","parse-names":false,"suffix":""},{"dropping-particle":"","family":"Sheard","given":"Meryl M.","non-dropping-particle":"","parse-names":false,"suffix":""},{"dropping-particle":"","family":"Aljamhan","given":"Essam A.","non-dropping-particle":"","parse-names":false,"suffix":""},{"dropping-particle":"","family":"Fink","given":"James B.","non-dropping-particle":"","parse-names":false,"suffix":""}],"container-title":"Respiratory Care","id":"ITEM-1","issue":"7","issued":{"date-parts":[["2010"]]},"page":"845-851","title":"Influence of nebulizer type, position, and bias flow on aerosol drug delivery in simulated pediatric and adult lung models during mechanical ventilation","type":"article-journal","volume":"55"},"uris":["http://www.mendeley.com/documents/?uuid=0f339ef9-5d06-4e66-ae01-e0ee13f5596c"]},{"id":"ITEM-2","itemData":{"ISSN":"00201324","PMID":"20587094","abstract":"BACKGROUND: The position of the jet or ultrasonic nebulizer in the ventilator circuit impacts drug delivery during mechanical ventilation, but has not been extensively explored, and no study has examined all of the commonly used nebulizers. METHODS: Drug delivery from jet, vibrating-mesh, and ultrasonic nebulizers and pressurized metered-dose inhaler (pMDI) with spacer was compared in a model of adult mechanical ventilation, with heated/humidified and non-humidified ventilator circuits. Albuterol sulfate was aerosolized at 3 circuit positions: (1) between the endotracheal tube and the Y-piece; (2) 15 cm from Y-piece; and (3) 15 cm from the ventilator, with each device (n = 3) using adult settings (tidal volume 500 mL, ramp flow pattern, 15 breaths/min, peak inspiratory flow 60 L/min, and PEEP 5 cm H2O). The drug deposited on an absolute filter distal to an 8.0-mm inner-diameter endotracheal tube was eluted and analyzed via spectrophotometry (276 nm), and is reported as mean ± SD percent of total nominal or emitted dose. RESULTS: The vibrating-mesh nebulizer, ultrasonic nebulizer, and pMDI with spacer were most efficient in position 2 with both non-humidified (30.2 ± 1.0%, 24.7 ± 4.4%, and 27.8 ± 3.3%, respectively) and heated/humidified circuits (16.8 ± 2.6%, 16.5 ± 4.3%, and 17 ± 1.0%, respectively). In contrast, the jet nebulizer was most efficient in position 3 under both non-humidified (14.7 ± 1.5%) and heated/humidified (6.0 ± 0.1%) conditions. In positions 2 and 3, all devices delivered approximately 2-fold more drug under non-humidified than under heated/humidified conditions (P &lt; .01). At position 1 only the pMDI delivered substantially more drug than with the non-humidified circuit. CONCLUSION: During mechanical ventilation the optimal drug delivery efficiency depends on the aerosol generator, the ventilator circuit, and the aerosol generator position. © 2010 Daedalus Enterprises.","author":[{"dropping-particle":"","family":"Ari","given":"Arzu","non-dropping-particle":"","parse-names":false,"suffix":""},{"dropping-particle":"","family":"Areabi","given":"Hasan","non-dropping-particle":"","parse-names":false,"suffix":""},{"dropping-particle":"","family":"Fink","given":"James B.","non-dropping-particle":"","parse-names":false,"suffix":""}],"container-title":"Respiratory Care","id":"ITEM-2","issue":"7","issued":{"date-parts":[["2010"]]},"page":"837-844","title":"Evaluation of aerosol generator devices at 3 locations in humidified and non-humidified circuits during adult mechanical ventilation","type":"article-journal","volume":"55"},"uris":["http://www.mendeley.com/documents/?uuid=80ad6ac1-b59b-44bb-a660-0b597cdf09a7"]}],"mendeley":{"formattedCitation":"[4,5]","plainTextFormattedCitation":"[4,5]","previouslyFormattedCitation":"[4,5]"},"properties":{"noteIndex":0},"schema":"https://github.com/citation-style-language/schema/raw/master/csl-citation.json"}</w:instrText>
      </w:r>
      <w:r w:rsidRPr="009E1CED">
        <w:rPr>
          <w:rFonts w:cs="Arial"/>
          <w:sz w:val="20"/>
        </w:rPr>
        <w:fldChar w:fldCharType="separate"/>
      </w:r>
      <w:r w:rsidRPr="009E1CED">
        <w:rPr>
          <w:rFonts w:cs="Arial"/>
          <w:noProof/>
          <w:sz w:val="20"/>
        </w:rPr>
        <w:t>[4,5]</w:t>
      </w:r>
      <w:r w:rsidRPr="009E1CED">
        <w:rPr>
          <w:rFonts w:cs="Arial"/>
          <w:sz w:val="20"/>
        </w:rPr>
        <w:fldChar w:fldCharType="end"/>
      </w:r>
      <w:r w:rsidRPr="009E1CED">
        <w:rPr>
          <w:rFonts w:cs="Arial"/>
          <w:sz w:val="20"/>
        </w:rPr>
        <w:t xml:space="preserve">. These include nebuliser type, position in the circuit in relation to the ventilator and patient, humidification, and delivery interface. Few studies have investigated the factors affecting aerosol drug delivery in patients receiving NIV. This work focused on the influence of humidification and nebuliser placement on aerosol drug delivery in a dual limb NIV respiratory circuit to a simulated adult patient. </w:t>
      </w:r>
    </w:p>
    <w:p w14:paraId="705C86AC" w14:textId="77777777" w:rsidR="005323F4" w:rsidRPr="009E1CED" w:rsidRDefault="005323F4" w:rsidP="005323F4">
      <w:pPr>
        <w:pStyle w:val="DDLHeading1"/>
        <w:rPr>
          <w:rFonts w:cs="Arial"/>
          <w:sz w:val="20"/>
          <w:szCs w:val="20"/>
        </w:rPr>
      </w:pPr>
      <w:r w:rsidRPr="009E1CED">
        <w:rPr>
          <w:rFonts w:cs="Arial"/>
          <w:sz w:val="20"/>
          <w:szCs w:val="20"/>
        </w:rPr>
        <w:t>Methods</w:t>
      </w:r>
    </w:p>
    <w:p w14:paraId="28A7748A" w14:textId="77777777" w:rsidR="005323F4" w:rsidRPr="009E1CED" w:rsidRDefault="005323F4" w:rsidP="005323F4">
      <w:pPr>
        <w:pStyle w:val="DDLBodyText"/>
        <w:spacing w:after="0"/>
        <w:rPr>
          <w:rFonts w:cs="Arial"/>
          <w:sz w:val="20"/>
        </w:rPr>
      </w:pPr>
      <w:r w:rsidRPr="009E1CED">
        <w:rPr>
          <w:rFonts w:cs="Arial"/>
          <w:sz w:val="20"/>
        </w:rPr>
        <w:t>2000 µg of Albuterol Sulfate was aerosolised using a vibrating mesh nebuliser (VMN) (Aerogen Solo and Pro-X controller, Aerogen, IRE).  NIV was delivered using a BellaVista 1000 ventilator (Vyaire, US), (IPAP: 15 cm H</w:t>
      </w:r>
      <w:r w:rsidRPr="009E1CED">
        <w:rPr>
          <w:rFonts w:cs="Arial"/>
          <w:sz w:val="20"/>
          <w:vertAlign w:val="subscript"/>
        </w:rPr>
        <w:t>2</w:t>
      </w:r>
      <w:r w:rsidRPr="009E1CED">
        <w:rPr>
          <w:rFonts w:cs="Arial"/>
          <w:sz w:val="20"/>
        </w:rPr>
        <w:t>0, EPAP: 5 cm H</w:t>
      </w:r>
      <w:r w:rsidRPr="009E1CED">
        <w:rPr>
          <w:rFonts w:cs="Arial"/>
          <w:sz w:val="20"/>
          <w:vertAlign w:val="subscript"/>
        </w:rPr>
        <w:t>2</w:t>
      </w:r>
      <w:r w:rsidRPr="009E1CED">
        <w:rPr>
          <w:rFonts w:cs="Arial"/>
          <w:sz w:val="20"/>
        </w:rPr>
        <w:t xml:space="preserve">0 with a humidifier (MR850, F&amp;P, NZ) and a dual limb respiratory circuit (RT232, F&amp;P, NZ). A non-vented NIV faskmask (RT046 F&amp;P, NZ) was connected to an anatomically correct adult head model (LUCY) and a breathing simulator (BRS2100, Copley Scientific, UK) (BR: 15 BPM, Vt: 500 ml, I:E: 1.0:1.0). The VMN was placed at the mask elbow and on the inspiratory limb of the respiratory circuit, see Figure 1. The aerosol available at the level of the trachea was captured using an absolute filter (RespirGard II 303EU, Vyaire, US) and quantified using UV-spectrophotometry at 276 nm. Testing was completed in independent quintuplicate (n=5). </w:t>
      </w:r>
    </w:p>
    <w:p w14:paraId="3B2E95F2" w14:textId="77777777" w:rsidR="005323F4" w:rsidRPr="009E1CED" w:rsidRDefault="005323F4" w:rsidP="005323F4">
      <w:pPr>
        <w:pStyle w:val="DDLBodyText"/>
        <w:spacing w:after="0"/>
        <w:rPr>
          <w:rFonts w:cs="Arial"/>
          <w:sz w:val="20"/>
        </w:rPr>
      </w:pPr>
    </w:p>
    <w:p w14:paraId="053B2728" w14:textId="77777777" w:rsidR="005323F4" w:rsidRPr="009E1CED" w:rsidRDefault="005323F4" w:rsidP="005323F4">
      <w:pPr>
        <w:pStyle w:val="DDLBodyText"/>
        <w:spacing w:after="0"/>
        <w:jc w:val="center"/>
        <w:rPr>
          <w:rFonts w:cs="Arial"/>
          <w:sz w:val="20"/>
        </w:rPr>
      </w:pPr>
      <w:r w:rsidRPr="009E1CED">
        <w:rPr>
          <w:rFonts w:cs="Arial"/>
          <w:noProof/>
          <w:sz w:val="20"/>
        </w:rPr>
        <w:drawing>
          <wp:inline distT="0" distB="0" distL="0" distR="0" wp14:anchorId="63BDBE84" wp14:editId="0142A792">
            <wp:extent cx="4665306" cy="1659496"/>
            <wp:effectExtent l="0" t="0" r="2540" b="0"/>
            <wp:docPr id="2000171154" name="Picture 200017115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71154" name="Picture 1"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8426" cy="1674834"/>
                    </a:xfrm>
                    <a:prstGeom prst="rect">
                      <a:avLst/>
                    </a:prstGeom>
                  </pic:spPr>
                </pic:pic>
              </a:graphicData>
            </a:graphic>
          </wp:inline>
        </w:drawing>
      </w:r>
    </w:p>
    <w:p w14:paraId="4959CC86" w14:textId="77777777" w:rsidR="005323F4" w:rsidRPr="009E1CED" w:rsidRDefault="005323F4" w:rsidP="005323F4">
      <w:pPr>
        <w:pStyle w:val="DDLBodyText"/>
        <w:spacing w:after="0"/>
        <w:rPr>
          <w:rFonts w:cs="Arial"/>
          <w:sz w:val="20"/>
        </w:rPr>
      </w:pPr>
      <w:r w:rsidRPr="009E1CED">
        <w:rPr>
          <w:rFonts w:cs="Arial"/>
          <w:b/>
          <w:bCs/>
          <w:sz w:val="20"/>
        </w:rPr>
        <w:t>Figure 1:</w:t>
      </w:r>
      <w:r w:rsidRPr="009E1CED">
        <w:rPr>
          <w:rFonts w:cs="Arial"/>
          <w:sz w:val="20"/>
        </w:rPr>
        <w:t xml:space="preserve"> Schematic illustration of the experimental test setup.</w:t>
      </w:r>
    </w:p>
    <w:p w14:paraId="150803DA" w14:textId="77777777" w:rsidR="005323F4" w:rsidRPr="009E1CED" w:rsidRDefault="005323F4" w:rsidP="005323F4">
      <w:pPr>
        <w:pStyle w:val="DDLHeading1"/>
        <w:rPr>
          <w:rFonts w:cs="Arial"/>
          <w:sz w:val="20"/>
          <w:szCs w:val="20"/>
        </w:rPr>
      </w:pPr>
      <w:r w:rsidRPr="009E1CED">
        <w:rPr>
          <w:rFonts w:cs="Arial"/>
          <w:sz w:val="20"/>
          <w:szCs w:val="20"/>
        </w:rPr>
        <w:t>Results</w:t>
      </w:r>
    </w:p>
    <w:p w14:paraId="6F888D7F" w14:textId="77777777" w:rsidR="005323F4" w:rsidRPr="009E1CED" w:rsidRDefault="005323F4" w:rsidP="005323F4">
      <w:pPr>
        <w:pStyle w:val="DDLBodyText"/>
        <w:spacing w:after="0"/>
        <w:rPr>
          <w:rFonts w:cs="Arial"/>
          <w:sz w:val="20"/>
        </w:rPr>
      </w:pPr>
      <w:r w:rsidRPr="009E1CED">
        <w:rPr>
          <w:rFonts w:cs="Arial"/>
          <w:sz w:val="20"/>
        </w:rPr>
        <w:t xml:space="preserve">Results are expressed as a percentage of the nominal dose placed in the nebulisers medication cup (%) and presented in Figure 2. </w:t>
      </w:r>
    </w:p>
    <w:p w14:paraId="64A93007" w14:textId="77777777" w:rsidR="005323F4" w:rsidRPr="009E1CED" w:rsidRDefault="005323F4" w:rsidP="005323F4">
      <w:pPr>
        <w:pStyle w:val="DDLBodyText"/>
        <w:spacing w:after="0"/>
        <w:jc w:val="center"/>
        <w:rPr>
          <w:rFonts w:cs="Arial"/>
          <w:sz w:val="20"/>
        </w:rPr>
      </w:pPr>
      <w:r w:rsidRPr="009E1CED">
        <w:rPr>
          <w:rFonts w:cs="Arial"/>
          <w:noProof/>
          <w:sz w:val="20"/>
        </w:rPr>
        <w:lastRenderedPageBreak/>
        <w:drawing>
          <wp:inline distT="0" distB="0" distL="0" distR="0" wp14:anchorId="752348CE" wp14:editId="65ACEC96">
            <wp:extent cx="3381375" cy="2254250"/>
            <wp:effectExtent l="0" t="0" r="9525" b="0"/>
            <wp:docPr id="1833608573"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08573" name="Picture 2" descr="Chart, box and whiske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81854" cy="2254569"/>
                    </a:xfrm>
                    <a:prstGeom prst="rect">
                      <a:avLst/>
                    </a:prstGeom>
                  </pic:spPr>
                </pic:pic>
              </a:graphicData>
            </a:graphic>
          </wp:inline>
        </w:drawing>
      </w:r>
    </w:p>
    <w:p w14:paraId="49A47627" w14:textId="77777777" w:rsidR="005323F4" w:rsidRPr="009E1CED" w:rsidRDefault="005323F4" w:rsidP="005323F4">
      <w:pPr>
        <w:pStyle w:val="DDLBodyText"/>
        <w:jc w:val="left"/>
        <w:rPr>
          <w:rFonts w:cs="Arial"/>
          <w:sz w:val="20"/>
        </w:rPr>
      </w:pPr>
      <w:r w:rsidRPr="009E1CED">
        <w:rPr>
          <w:rFonts w:cs="Arial"/>
          <w:b/>
          <w:bCs/>
          <w:sz w:val="20"/>
        </w:rPr>
        <w:t>Figure 2:</w:t>
      </w:r>
      <w:r w:rsidRPr="009E1CED">
        <w:rPr>
          <w:rFonts w:cs="Arial"/>
          <w:sz w:val="20"/>
        </w:rPr>
        <w:t xml:space="preserve"> The effects of nebuliser position and humidification on the tracheal dose (%) in a NIV simulated adult patient.</w:t>
      </w:r>
    </w:p>
    <w:p w14:paraId="45558870" w14:textId="77777777" w:rsidR="005323F4" w:rsidRPr="009E1CED" w:rsidRDefault="005323F4" w:rsidP="005323F4">
      <w:pPr>
        <w:pStyle w:val="DDLBodyText"/>
        <w:rPr>
          <w:rFonts w:cs="Arial"/>
          <w:sz w:val="20"/>
        </w:rPr>
      </w:pPr>
      <w:r w:rsidRPr="009E1CED">
        <w:rPr>
          <w:rFonts w:cs="Arial"/>
          <w:sz w:val="20"/>
        </w:rPr>
        <w:t xml:space="preserve">Student’s T-tests were performed to determine significant differences in tracheal dose between the various nebuliser positions and the effects, if any, of humidification on the tracheal dose (%). P-values </w:t>
      </w:r>
      <w:r w:rsidRPr="009E1CED">
        <w:rPr>
          <w:rFonts w:cs="Arial"/>
          <w:sz w:val="20"/>
          <w:u w:val="single"/>
        </w:rPr>
        <w:t>&lt;</w:t>
      </w:r>
      <w:r w:rsidRPr="009E1CED">
        <w:rPr>
          <w:rFonts w:cs="Arial"/>
          <w:sz w:val="20"/>
        </w:rPr>
        <w:t xml:space="preserve"> 0.05 were considered statistically significant. The results of which are presented in Table 1.</w:t>
      </w:r>
    </w:p>
    <w:p w14:paraId="7D601B75" w14:textId="77777777" w:rsidR="005323F4" w:rsidRPr="009E1CED" w:rsidRDefault="005323F4" w:rsidP="005323F4">
      <w:pPr>
        <w:pStyle w:val="DDLBodyText"/>
        <w:spacing w:after="0"/>
        <w:rPr>
          <w:rFonts w:cs="Arial"/>
          <w:sz w:val="20"/>
        </w:rPr>
      </w:pPr>
      <w:r w:rsidRPr="009E1CED">
        <w:rPr>
          <w:rFonts w:cs="Arial"/>
          <w:b/>
          <w:bCs/>
          <w:sz w:val="20"/>
        </w:rPr>
        <w:t>Table 1:</w:t>
      </w:r>
      <w:r w:rsidRPr="009E1CED">
        <w:rPr>
          <w:rFonts w:cs="Arial"/>
          <w:sz w:val="20"/>
        </w:rPr>
        <w:t xml:space="preserve"> Statistical analysis of the influence of nebuliser position and circuit humidification on tracheal dose (%). </w:t>
      </w:r>
    </w:p>
    <w:tbl>
      <w:tblPr>
        <w:tblStyle w:val="ListTable1Light"/>
        <w:tblW w:w="0" w:type="auto"/>
        <w:jc w:val="center"/>
        <w:tblLook w:val="04A0" w:firstRow="1" w:lastRow="0" w:firstColumn="1" w:lastColumn="0" w:noHBand="0" w:noVBand="1"/>
      </w:tblPr>
      <w:tblGrid>
        <w:gridCol w:w="1887"/>
        <w:gridCol w:w="1605"/>
        <w:gridCol w:w="1874"/>
        <w:gridCol w:w="977"/>
      </w:tblGrid>
      <w:tr w:rsidR="005323F4" w:rsidRPr="009E1CED" w14:paraId="2A82B28A" w14:textId="77777777" w:rsidTr="00A31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auto"/>
            <w:vAlign w:val="center"/>
          </w:tcPr>
          <w:p w14:paraId="6B0A517C" w14:textId="77777777" w:rsidR="005323F4" w:rsidRPr="009E1CED" w:rsidRDefault="005323F4" w:rsidP="00A313DF">
            <w:pPr>
              <w:pStyle w:val="DDLBodyText"/>
              <w:jc w:val="center"/>
              <w:rPr>
                <w:rFonts w:cs="Arial"/>
                <w:sz w:val="20"/>
              </w:rPr>
            </w:pPr>
            <w:r w:rsidRPr="009E1CED">
              <w:rPr>
                <w:rFonts w:cs="Arial"/>
                <w:sz w:val="20"/>
              </w:rPr>
              <w:t>Nebuliser position</w:t>
            </w:r>
          </w:p>
        </w:tc>
        <w:tc>
          <w:tcPr>
            <w:tcW w:w="1567" w:type="dxa"/>
            <w:shd w:val="clear" w:color="auto" w:fill="auto"/>
            <w:vAlign w:val="center"/>
          </w:tcPr>
          <w:p w14:paraId="05E4F72A" w14:textId="77777777" w:rsidR="005323F4" w:rsidRPr="009E1CED" w:rsidRDefault="005323F4" w:rsidP="00A313DF">
            <w:pPr>
              <w:pStyle w:val="DDLBodyT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9E1CED">
              <w:rPr>
                <w:rFonts w:cs="Arial"/>
                <w:sz w:val="20"/>
              </w:rPr>
              <w:t>Humidification</w:t>
            </w:r>
          </w:p>
        </w:tc>
        <w:tc>
          <w:tcPr>
            <w:tcW w:w="1874" w:type="dxa"/>
            <w:shd w:val="clear" w:color="auto" w:fill="auto"/>
            <w:vAlign w:val="center"/>
          </w:tcPr>
          <w:p w14:paraId="3BEAB623" w14:textId="77777777" w:rsidR="005323F4" w:rsidRPr="009E1CED" w:rsidRDefault="005323F4" w:rsidP="00A313DF">
            <w:pPr>
              <w:pStyle w:val="DDLBodyText"/>
              <w:jc w:val="center"/>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9E1CED">
              <w:rPr>
                <w:rFonts w:cs="Arial"/>
                <w:sz w:val="20"/>
              </w:rPr>
              <w:t>Tracheal Dose (%)</w:t>
            </w:r>
          </w:p>
          <w:p w14:paraId="365A392D" w14:textId="77777777" w:rsidR="005323F4" w:rsidRPr="009E1CED" w:rsidRDefault="005323F4" w:rsidP="00A313DF">
            <w:pPr>
              <w:pStyle w:val="DDLBodyT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9E1CED">
              <w:rPr>
                <w:rFonts w:cs="Arial"/>
                <w:sz w:val="20"/>
              </w:rPr>
              <w:t>(Avg ± SD)</w:t>
            </w:r>
          </w:p>
        </w:tc>
        <w:tc>
          <w:tcPr>
            <w:tcW w:w="977" w:type="dxa"/>
            <w:shd w:val="clear" w:color="auto" w:fill="auto"/>
            <w:vAlign w:val="center"/>
          </w:tcPr>
          <w:p w14:paraId="3E5052BB" w14:textId="77777777" w:rsidR="005323F4" w:rsidRPr="009E1CED" w:rsidRDefault="005323F4" w:rsidP="00A313DF">
            <w:pPr>
              <w:pStyle w:val="DDLBodyText"/>
              <w:jc w:val="center"/>
              <w:cnfStyle w:val="100000000000" w:firstRow="1" w:lastRow="0" w:firstColumn="0" w:lastColumn="0" w:oddVBand="0" w:evenVBand="0" w:oddHBand="0" w:evenHBand="0" w:firstRowFirstColumn="0" w:firstRowLastColumn="0" w:lastRowFirstColumn="0" w:lastRowLastColumn="0"/>
              <w:rPr>
                <w:rFonts w:cs="Arial"/>
                <w:sz w:val="20"/>
              </w:rPr>
            </w:pPr>
            <w:r w:rsidRPr="009E1CED">
              <w:rPr>
                <w:rFonts w:cs="Arial"/>
                <w:sz w:val="20"/>
              </w:rPr>
              <w:t>P-Value</w:t>
            </w:r>
          </w:p>
        </w:tc>
      </w:tr>
      <w:tr w:rsidR="005323F4" w:rsidRPr="009E1CED" w14:paraId="4ADDF14B" w14:textId="77777777" w:rsidTr="00A31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Merge w:val="restart"/>
            <w:shd w:val="clear" w:color="auto" w:fill="auto"/>
            <w:vAlign w:val="center"/>
          </w:tcPr>
          <w:p w14:paraId="73083378" w14:textId="77777777" w:rsidR="005323F4" w:rsidRPr="009E1CED" w:rsidRDefault="005323F4" w:rsidP="00A313DF">
            <w:pPr>
              <w:pStyle w:val="DDLBodyText"/>
              <w:jc w:val="center"/>
              <w:rPr>
                <w:rFonts w:cs="Arial"/>
                <w:sz w:val="20"/>
              </w:rPr>
            </w:pPr>
            <w:r w:rsidRPr="009E1CED">
              <w:rPr>
                <w:rFonts w:cs="Arial"/>
                <w:sz w:val="20"/>
              </w:rPr>
              <w:t>Elbow</w:t>
            </w:r>
          </w:p>
        </w:tc>
        <w:tc>
          <w:tcPr>
            <w:tcW w:w="1567" w:type="dxa"/>
            <w:shd w:val="clear" w:color="auto" w:fill="auto"/>
            <w:vAlign w:val="center"/>
          </w:tcPr>
          <w:p w14:paraId="1CAB6C8B"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Yes</w:t>
            </w:r>
          </w:p>
        </w:tc>
        <w:tc>
          <w:tcPr>
            <w:tcW w:w="1874" w:type="dxa"/>
            <w:shd w:val="clear" w:color="auto" w:fill="auto"/>
            <w:vAlign w:val="center"/>
          </w:tcPr>
          <w:p w14:paraId="776FE456"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10.85 ± 0.72</w:t>
            </w:r>
          </w:p>
        </w:tc>
        <w:tc>
          <w:tcPr>
            <w:tcW w:w="977" w:type="dxa"/>
            <w:vMerge w:val="restart"/>
            <w:shd w:val="clear" w:color="auto" w:fill="auto"/>
            <w:vAlign w:val="center"/>
          </w:tcPr>
          <w:p w14:paraId="1A97C143"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0.132</w:t>
            </w:r>
          </w:p>
        </w:tc>
      </w:tr>
      <w:tr w:rsidR="005323F4" w:rsidRPr="009E1CED" w14:paraId="3C556C6D" w14:textId="77777777" w:rsidTr="00A313DF">
        <w:trPr>
          <w:jc w:val="center"/>
        </w:trPr>
        <w:tc>
          <w:tcPr>
            <w:cnfStyle w:val="001000000000" w:firstRow="0" w:lastRow="0" w:firstColumn="1" w:lastColumn="0" w:oddVBand="0" w:evenVBand="0" w:oddHBand="0" w:evenHBand="0" w:firstRowFirstColumn="0" w:firstRowLastColumn="0" w:lastRowFirstColumn="0" w:lastRowLastColumn="0"/>
            <w:tcW w:w="1887" w:type="dxa"/>
            <w:vMerge/>
            <w:shd w:val="clear" w:color="auto" w:fill="auto"/>
            <w:vAlign w:val="center"/>
          </w:tcPr>
          <w:p w14:paraId="3F7EAECD" w14:textId="77777777" w:rsidR="005323F4" w:rsidRPr="009E1CED" w:rsidRDefault="005323F4" w:rsidP="00A313DF">
            <w:pPr>
              <w:pStyle w:val="DDLBodyText"/>
              <w:jc w:val="center"/>
              <w:rPr>
                <w:rFonts w:cs="Arial"/>
                <w:sz w:val="20"/>
              </w:rPr>
            </w:pPr>
          </w:p>
        </w:tc>
        <w:tc>
          <w:tcPr>
            <w:tcW w:w="1567" w:type="dxa"/>
            <w:shd w:val="clear" w:color="auto" w:fill="auto"/>
            <w:vAlign w:val="center"/>
          </w:tcPr>
          <w:p w14:paraId="7A04BF2B"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No</w:t>
            </w:r>
          </w:p>
        </w:tc>
        <w:tc>
          <w:tcPr>
            <w:tcW w:w="1874" w:type="dxa"/>
            <w:shd w:val="clear" w:color="auto" w:fill="auto"/>
            <w:vAlign w:val="center"/>
          </w:tcPr>
          <w:p w14:paraId="2326C684"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10.28 ± 0.23</w:t>
            </w:r>
          </w:p>
        </w:tc>
        <w:tc>
          <w:tcPr>
            <w:tcW w:w="977" w:type="dxa"/>
            <w:vMerge/>
            <w:shd w:val="clear" w:color="auto" w:fill="auto"/>
            <w:vAlign w:val="center"/>
          </w:tcPr>
          <w:p w14:paraId="219A6D07"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5323F4" w:rsidRPr="009E1CED" w14:paraId="6B9ABB66" w14:textId="77777777" w:rsidTr="00A31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Merge w:val="restart"/>
            <w:shd w:val="clear" w:color="auto" w:fill="auto"/>
            <w:vAlign w:val="center"/>
          </w:tcPr>
          <w:p w14:paraId="342D64FE" w14:textId="77777777" w:rsidR="005323F4" w:rsidRPr="009E1CED" w:rsidRDefault="005323F4" w:rsidP="00A313DF">
            <w:pPr>
              <w:pStyle w:val="DDLBodyText"/>
              <w:jc w:val="center"/>
              <w:rPr>
                <w:rFonts w:cs="Arial"/>
                <w:sz w:val="20"/>
              </w:rPr>
            </w:pPr>
            <w:r w:rsidRPr="009E1CED">
              <w:rPr>
                <w:rFonts w:cs="Arial"/>
                <w:sz w:val="20"/>
              </w:rPr>
              <w:t>Inspiratory limb</w:t>
            </w:r>
          </w:p>
        </w:tc>
        <w:tc>
          <w:tcPr>
            <w:tcW w:w="1567" w:type="dxa"/>
            <w:shd w:val="clear" w:color="auto" w:fill="auto"/>
            <w:vAlign w:val="center"/>
          </w:tcPr>
          <w:p w14:paraId="4C88447B"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Yes</w:t>
            </w:r>
          </w:p>
        </w:tc>
        <w:tc>
          <w:tcPr>
            <w:tcW w:w="1874" w:type="dxa"/>
            <w:shd w:val="clear" w:color="auto" w:fill="auto"/>
            <w:vAlign w:val="center"/>
          </w:tcPr>
          <w:p w14:paraId="22B80537"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14.00 ± 0.94</w:t>
            </w:r>
          </w:p>
        </w:tc>
        <w:tc>
          <w:tcPr>
            <w:tcW w:w="977" w:type="dxa"/>
            <w:vMerge w:val="restart"/>
            <w:shd w:val="clear" w:color="auto" w:fill="auto"/>
            <w:vAlign w:val="center"/>
          </w:tcPr>
          <w:p w14:paraId="08ACE35A"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0.209</w:t>
            </w:r>
          </w:p>
        </w:tc>
      </w:tr>
      <w:tr w:rsidR="005323F4" w:rsidRPr="009E1CED" w14:paraId="360F997B" w14:textId="77777777" w:rsidTr="00A313DF">
        <w:trPr>
          <w:jc w:val="center"/>
        </w:trPr>
        <w:tc>
          <w:tcPr>
            <w:cnfStyle w:val="001000000000" w:firstRow="0" w:lastRow="0" w:firstColumn="1" w:lastColumn="0" w:oddVBand="0" w:evenVBand="0" w:oddHBand="0" w:evenHBand="0" w:firstRowFirstColumn="0" w:firstRowLastColumn="0" w:lastRowFirstColumn="0" w:lastRowLastColumn="0"/>
            <w:tcW w:w="1887" w:type="dxa"/>
            <w:vMerge/>
            <w:shd w:val="clear" w:color="auto" w:fill="auto"/>
            <w:vAlign w:val="center"/>
          </w:tcPr>
          <w:p w14:paraId="2A1431BD" w14:textId="77777777" w:rsidR="005323F4" w:rsidRPr="009E1CED" w:rsidRDefault="005323F4" w:rsidP="00A313DF">
            <w:pPr>
              <w:pStyle w:val="DDLBodyText"/>
              <w:jc w:val="center"/>
              <w:rPr>
                <w:rFonts w:cs="Arial"/>
                <w:sz w:val="20"/>
              </w:rPr>
            </w:pPr>
          </w:p>
        </w:tc>
        <w:tc>
          <w:tcPr>
            <w:tcW w:w="1567" w:type="dxa"/>
            <w:shd w:val="clear" w:color="auto" w:fill="auto"/>
            <w:vAlign w:val="center"/>
          </w:tcPr>
          <w:p w14:paraId="63C4F8E6"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No</w:t>
            </w:r>
          </w:p>
        </w:tc>
        <w:tc>
          <w:tcPr>
            <w:tcW w:w="1874" w:type="dxa"/>
            <w:shd w:val="clear" w:color="auto" w:fill="auto"/>
            <w:vAlign w:val="center"/>
          </w:tcPr>
          <w:p w14:paraId="168D7636"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13.53 ± 1.45</w:t>
            </w:r>
          </w:p>
        </w:tc>
        <w:tc>
          <w:tcPr>
            <w:tcW w:w="977" w:type="dxa"/>
            <w:vMerge/>
            <w:shd w:val="clear" w:color="auto" w:fill="auto"/>
            <w:vAlign w:val="center"/>
          </w:tcPr>
          <w:p w14:paraId="4BFCA340"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5323F4" w:rsidRPr="009E1CED" w14:paraId="5A087F8A" w14:textId="77777777" w:rsidTr="00A31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auto"/>
            <w:vAlign w:val="center"/>
          </w:tcPr>
          <w:p w14:paraId="0F7FC540" w14:textId="77777777" w:rsidR="005323F4" w:rsidRPr="009E1CED" w:rsidRDefault="005323F4" w:rsidP="00A313DF">
            <w:pPr>
              <w:pStyle w:val="DDLBodyText"/>
              <w:jc w:val="center"/>
              <w:rPr>
                <w:rFonts w:cs="Arial"/>
                <w:sz w:val="20"/>
              </w:rPr>
            </w:pPr>
            <w:r w:rsidRPr="009E1CED">
              <w:rPr>
                <w:rFonts w:cs="Arial"/>
                <w:sz w:val="20"/>
              </w:rPr>
              <w:t>Elbow</w:t>
            </w:r>
          </w:p>
        </w:tc>
        <w:tc>
          <w:tcPr>
            <w:tcW w:w="1567" w:type="dxa"/>
            <w:vMerge w:val="restart"/>
            <w:shd w:val="clear" w:color="auto" w:fill="auto"/>
            <w:vAlign w:val="center"/>
          </w:tcPr>
          <w:p w14:paraId="33BED941"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Yes</w:t>
            </w:r>
          </w:p>
        </w:tc>
        <w:tc>
          <w:tcPr>
            <w:tcW w:w="1874" w:type="dxa"/>
            <w:shd w:val="clear" w:color="auto" w:fill="auto"/>
            <w:vAlign w:val="center"/>
          </w:tcPr>
          <w:p w14:paraId="3BA16483"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10.85 ± 0.72</w:t>
            </w:r>
          </w:p>
        </w:tc>
        <w:tc>
          <w:tcPr>
            <w:tcW w:w="977" w:type="dxa"/>
            <w:vMerge w:val="restart"/>
            <w:shd w:val="clear" w:color="auto" w:fill="auto"/>
            <w:vAlign w:val="center"/>
          </w:tcPr>
          <w:p w14:paraId="3999BD86"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0.004</w:t>
            </w:r>
          </w:p>
        </w:tc>
      </w:tr>
      <w:tr w:rsidR="005323F4" w:rsidRPr="009E1CED" w14:paraId="48284513" w14:textId="77777777" w:rsidTr="00A313DF">
        <w:trPr>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auto"/>
            <w:vAlign w:val="center"/>
          </w:tcPr>
          <w:p w14:paraId="1311C460" w14:textId="77777777" w:rsidR="005323F4" w:rsidRPr="009E1CED" w:rsidRDefault="005323F4" w:rsidP="00A313DF">
            <w:pPr>
              <w:pStyle w:val="DDLBodyText"/>
              <w:jc w:val="center"/>
              <w:rPr>
                <w:rFonts w:cs="Arial"/>
                <w:sz w:val="20"/>
              </w:rPr>
            </w:pPr>
            <w:r w:rsidRPr="009E1CED">
              <w:rPr>
                <w:rFonts w:cs="Arial"/>
                <w:sz w:val="20"/>
              </w:rPr>
              <w:t>Inspiratory limb</w:t>
            </w:r>
          </w:p>
        </w:tc>
        <w:tc>
          <w:tcPr>
            <w:tcW w:w="1567" w:type="dxa"/>
            <w:vMerge/>
            <w:shd w:val="clear" w:color="auto" w:fill="auto"/>
            <w:vAlign w:val="center"/>
          </w:tcPr>
          <w:p w14:paraId="2BA7584A"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874" w:type="dxa"/>
            <w:shd w:val="clear" w:color="auto" w:fill="auto"/>
            <w:vAlign w:val="center"/>
          </w:tcPr>
          <w:p w14:paraId="4DF2D850"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14.00 ± 0.94</w:t>
            </w:r>
          </w:p>
        </w:tc>
        <w:tc>
          <w:tcPr>
            <w:tcW w:w="977" w:type="dxa"/>
            <w:vMerge/>
            <w:shd w:val="clear" w:color="auto" w:fill="auto"/>
            <w:vAlign w:val="center"/>
          </w:tcPr>
          <w:p w14:paraId="78614F33"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5323F4" w:rsidRPr="009E1CED" w14:paraId="09071C2A" w14:textId="77777777" w:rsidTr="00A31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auto"/>
            <w:vAlign w:val="center"/>
          </w:tcPr>
          <w:p w14:paraId="4BEEB2F5" w14:textId="77777777" w:rsidR="005323F4" w:rsidRPr="009E1CED" w:rsidRDefault="005323F4" w:rsidP="00A313DF">
            <w:pPr>
              <w:pStyle w:val="DDLBodyText"/>
              <w:jc w:val="center"/>
              <w:rPr>
                <w:rFonts w:cs="Arial"/>
                <w:sz w:val="20"/>
              </w:rPr>
            </w:pPr>
            <w:r w:rsidRPr="009E1CED">
              <w:rPr>
                <w:rFonts w:cs="Arial"/>
                <w:sz w:val="20"/>
              </w:rPr>
              <w:t>Elbow</w:t>
            </w:r>
          </w:p>
        </w:tc>
        <w:tc>
          <w:tcPr>
            <w:tcW w:w="1567" w:type="dxa"/>
            <w:vMerge w:val="restart"/>
            <w:shd w:val="clear" w:color="auto" w:fill="auto"/>
            <w:vAlign w:val="center"/>
          </w:tcPr>
          <w:p w14:paraId="1F543EAB"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No</w:t>
            </w:r>
          </w:p>
        </w:tc>
        <w:tc>
          <w:tcPr>
            <w:tcW w:w="1874" w:type="dxa"/>
            <w:shd w:val="clear" w:color="auto" w:fill="auto"/>
            <w:vAlign w:val="center"/>
          </w:tcPr>
          <w:p w14:paraId="7DF4DB8B"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10.28 ± 0.23</w:t>
            </w:r>
          </w:p>
        </w:tc>
        <w:tc>
          <w:tcPr>
            <w:tcW w:w="977" w:type="dxa"/>
            <w:vMerge w:val="restart"/>
            <w:shd w:val="clear" w:color="auto" w:fill="auto"/>
            <w:vAlign w:val="center"/>
          </w:tcPr>
          <w:p w14:paraId="359750E4" w14:textId="77777777" w:rsidR="005323F4" w:rsidRPr="009E1CED" w:rsidRDefault="005323F4" w:rsidP="00A313DF">
            <w:pPr>
              <w:pStyle w:val="DDLBodyText"/>
              <w:jc w:val="center"/>
              <w:cnfStyle w:val="000000100000" w:firstRow="0" w:lastRow="0" w:firstColumn="0" w:lastColumn="0" w:oddVBand="0" w:evenVBand="0" w:oddHBand="1" w:evenHBand="0" w:firstRowFirstColumn="0" w:firstRowLastColumn="0" w:lastRowFirstColumn="0" w:lastRowLastColumn="0"/>
              <w:rPr>
                <w:rFonts w:cs="Arial"/>
                <w:sz w:val="20"/>
              </w:rPr>
            </w:pPr>
            <w:r w:rsidRPr="009E1CED">
              <w:rPr>
                <w:rFonts w:cs="Arial"/>
                <w:sz w:val="20"/>
              </w:rPr>
              <w:t>0.002</w:t>
            </w:r>
          </w:p>
        </w:tc>
      </w:tr>
      <w:tr w:rsidR="005323F4" w:rsidRPr="009E1CED" w14:paraId="198D17B9" w14:textId="77777777" w:rsidTr="00A313DF">
        <w:trPr>
          <w:jc w:val="center"/>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70D028DC" w14:textId="77777777" w:rsidR="005323F4" w:rsidRPr="009E1CED" w:rsidRDefault="005323F4" w:rsidP="00A313DF">
            <w:pPr>
              <w:pStyle w:val="DDLBodyText"/>
              <w:jc w:val="center"/>
              <w:rPr>
                <w:rFonts w:cs="Arial"/>
                <w:sz w:val="20"/>
              </w:rPr>
            </w:pPr>
            <w:r w:rsidRPr="009E1CED">
              <w:rPr>
                <w:rFonts w:cs="Arial"/>
                <w:sz w:val="20"/>
              </w:rPr>
              <w:t>Inspiratory limb</w:t>
            </w:r>
          </w:p>
        </w:tc>
        <w:tc>
          <w:tcPr>
            <w:tcW w:w="1567" w:type="dxa"/>
            <w:vMerge/>
            <w:vAlign w:val="center"/>
          </w:tcPr>
          <w:p w14:paraId="7CBC6333"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1874" w:type="dxa"/>
            <w:vAlign w:val="center"/>
          </w:tcPr>
          <w:p w14:paraId="62368F4A"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r w:rsidRPr="009E1CED">
              <w:rPr>
                <w:rFonts w:cs="Arial"/>
                <w:sz w:val="20"/>
              </w:rPr>
              <w:t>13.53 ± 1.45</w:t>
            </w:r>
          </w:p>
        </w:tc>
        <w:tc>
          <w:tcPr>
            <w:tcW w:w="977" w:type="dxa"/>
            <w:vMerge/>
            <w:vAlign w:val="center"/>
          </w:tcPr>
          <w:p w14:paraId="6223FC26" w14:textId="77777777" w:rsidR="005323F4" w:rsidRPr="009E1CED" w:rsidRDefault="005323F4" w:rsidP="00A313DF">
            <w:pPr>
              <w:pStyle w:val="DDLBodyText"/>
              <w:jc w:val="center"/>
              <w:cnfStyle w:val="000000000000" w:firstRow="0" w:lastRow="0" w:firstColumn="0" w:lastColumn="0" w:oddVBand="0" w:evenVBand="0" w:oddHBand="0" w:evenHBand="0" w:firstRowFirstColumn="0" w:firstRowLastColumn="0" w:lastRowFirstColumn="0" w:lastRowLastColumn="0"/>
              <w:rPr>
                <w:rFonts w:cs="Arial"/>
                <w:sz w:val="20"/>
              </w:rPr>
            </w:pPr>
          </w:p>
        </w:tc>
      </w:tr>
    </w:tbl>
    <w:p w14:paraId="54D3C67C" w14:textId="77777777" w:rsidR="005323F4" w:rsidRPr="009E1CED" w:rsidRDefault="005323F4" w:rsidP="005323F4">
      <w:pPr>
        <w:pStyle w:val="DDLHeading1"/>
        <w:rPr>
          <w:rFonts w:cs="Arial"/>
          <w:color w:val="000000" w:themeColor="text1"/>
          <w:sz w:val="20"/>
          <w:szCs w:val="20"/>
        </w:rPr>
      </w:pPr>
      <w:r w:rsidRPr="009E1CED">
        <w:rPr>
          <w:rFonts w:cs="Arial"/>
          <w:color w:val="000000" w:themeColor="text1"/>
          <w:sz w:val="20"/>
          <w:szCs w:val="20"/>
        </w:rPr>
        <w:t>Conclusion</w:t>
      </w:r>
    </w:p>
    <w:p w14:paraId="5B725850" w14:textId="77777777" w:rsidR="005323F4" w:rsidRPr="009E1CED" w:rsidRDefault="005323F4" w:rsidP="005323F4">
      <w:pPr>
        <w:pStyle w:val="DDLBodyText"/>
        <w:rPr>
          <w:rFonts w:cs="Arial"/>
          <w:sz w:val="20"/>
        </w:rPr>
      </w:pPr>
      <w:r w:rsidRPr="009E1CED">
        <w:rPr>
          <w:rFonts w:cs="Arial"/>
          <w:sz w:val="20"/>
        </w:rPr>
        <w:t xml:space="preserve">This study examined the effects of nebuliser placement and circuit humidification on aerosol drug delivery in a simulated NIV adult patient. The data showed that nebuliser placement had a significant effect on the dose of aerosol available for delivery at the tracheal level (%), P </w:t>
      </w:r>
      <w:r w:rsidRPr="009E1CED">
        <w:rPr>
          <w:rFonts w:cs="Arial"/>
          <w:sz w:val="20"/>
          <w:u w:val="single"/>
        </w:rPr>
        <w:t>&lt;</w:t>
      </w:r>
      <w:r w:rsidRPr="009E1CED">
        <w:rPr>
          <w:rFonts w:cs="Arial"/>
          <w:sz w:val="20"/>
        </w:rPr>
        <w:t xml:space="preserve"> 0.05, while circuit humidification had no significant effect, P </w:t>
      </w:r>
      <w:r w:rsidRPr="009E1CED">
        <w:rPr>
          <w:rFonts w:cs="Arial"/>
          <w:sz w:val="20"/>
          <w:u w:val="single"/>
        </w:rPr>
        <w:t>&gt;</w:t>
      </w:r>
      <w:r w:rsidRPr="009E1CED">
        <w:rPr>
          <w:rFonts w:cs="Arial"/>
          <w:sz w:val="20"/>
        </w:rPr>
        <w:t xml:space="preserve"> 0.05. The findings reported herein should help to inform clinicians as to the most efficient nebuliser placement and dual limb respiratory circuit arrangement to maximise aerosol drug delivery to NIV adult patients.  </w:t>
      </w:r>
    </w:p>
    <w:p w14:paraId="4CB2EA06" w14:textId="77777777" w:rsidR="005323F4" w:rsidRPr="009E1CED" w:rsidRDefault="005323F4" w:rsidP="005323F4">
      <w:pPr>
        <w:pStyle w:val="DDLHeading1"/>
        <w:rPr>
          <w:rFonts w:cs="Arial"/>
          <w:color w:val="000000" w:themeColor="text1"/>
          <w:sz w:val="20"/>
          <w:szCs w:val="20"/>
          <w:lang w:val="en-US"/>
        </w:rPr>
      </w:pPr>
      <w:r w:rsidRPr="009E1CED">
        <w:rPr>
          <w:rFonts w:cs="Arial"/>
          <w:color w:val="000000" w:themeColor="text1"/>
          <w:sz w:val="20"/>
          <w:szCs w:val="20"/>
          <w:lang w:val="en-US"/>
        </w:rPr>
        <w:t>References</w:t>
      </w:r>
    </w:p>
    <w:p w14:paraId="06C8D6C7" w14:textId="77777777" w:rsidR="005323F4" w:rsidRPr="009E1CED" w:rsidRDefault="005323F4" w:rsidP="005323F4">
      <w:pPr>
        <w:widowControl w:val="0"/>
        <w:autoSpaceDE w:val="0"/>
        <w:autoSpaceDN w:val="0"/>
        <w:adjustRightInd w:val="0"/>
        <w:ind w:left="640" w:hanging="640"/>
        <w:rPr>
          <w:rFonts w:ascii="Arial" w:hAnsi="Arial" w:cs="Arial"/>
          <w:noProof/>
          <w:sz w:val="20"/>
          <w:szCs w:val="20"/>
        </w:rPr>
      </w:pPr>
      <w:r w:rsidRPr="009E1CED">
        <w:rPr>
          <w:rFonts w:ascii="Arial" w:hAnsi="Arial" w:cs="Arial"/>
          <w:sz w:val="20"/>
          <w:szCs w:val="20"/>
          <w:lang w:val="en-US"/>
        </w:rPr>
        <w:fldChar w:fldCharType="begin" w:fldLock="1"/>
      </w:r>
      <w:r w:rsidRPr="009E1CED">
        <w:rPr>
          <w:rFonts w:ascii="Arial" w:hAnsi="Arial" w:cs="Arial"/>
          <w:sz w:val="20"/>
          <w:szCs w:val="20"/>
          <w:lang w:val="en-US"/>
        </w:rPr>
        <w:instrText xml:space="preserve">ADDIN Mendeley Bibliography CSL_BIBLIOGRAPHY </w:instrText>
      </w:r>
      <w:r w:rsidRPr="009E1CED">
        <w:rPr>
          <w:rFonts w:ascii="Arial" w:hAnsi="Arial" w:cs="Arial"/>
          <w:sz w:val="20"/>
          <w:szCs w:val="20"/>
          <w:lang w:val="en-US"/>
        </w:rPr>
        <w:fldChar w:fldCharType="separate"/>
      </w:r>
      <w:r w:rsidRPr="009E1CED">
        <w:rPr>
          <w:rFonts w:ascii="Arial" w:hAnsi="Arial" w:cs="Arial"/>
          <w:noProof/>
          <w:sz w:val="20"/>
          <w:szCs w:val="20"/>
        </w:rPr>
        <w:t>[1]</w:t>
      </w:r>
      <w:r w:rsidRPr="009E1CED">
        <w:rPr>
          <w:rFonts w:ascii="Arial" w:hAnsi="Arial" w:cs="Arial"/>
          <w:noProof/>
          <w:sz w:val="20"/>
          <w:szCs w:val="20"/>
        </w:rPr>
        <w:tab/>
        <w:t>Sutherasan Y, Ball L, Raimondo P, Caratto V, Sanguineti E, Costantino F, et al. Effects of ventilator settings, nebulizer and exhalation port position on albuterol delivery during non-invasive ventilation: An in-vitro study. BMC Pulm Med 2017;17:4–9. https://doi.org/10.1186/s12890-016-0347-5.</w:t>
      </w:r>
    </w:p>
    <w:p w14:paraId="61E447AA" w14:textId="77777777" w:rsidR="005323F4" w:rsidRPr="009E1CED" w:rsidRDefault="005323F4" w:rsidP="005323F4">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[2]</w:t>
      </w:r>
      <w:r w:rsidRPr="009E1CED">
        <w:rPr>
          <w:rFonts w:ascii="Arial" w:hAnsi="Arial" w:cs="Arial"/>
          <w:noProof/>
          <w:sz w:val="20"/>
          <w:szCs w:val="20"/>
        </w:rPr>
        <w:tab/>
        <w:t xml:space="preserve">Burns KEA, Adhikari NKJ, Keenan SP, Meade M. Use of non-invasive ventilation to wean </w:t>
      </w:r>
      <w:r w:rsidRPr="009E1CED">
        <w:rPr>
          <w:rFonts w:ascii="Arial" w:hAnsi="Arial" w:cs="Arial"/>
          <w:noProof/>
          <w:sz w:val="20"/>
          <w:szCs w:val="20"/>
        </w:rPr>
        <w:lastRenderedPageBreak/>
        <w:t>critically ill adults off invasive ventilation: Meta-analysis and systematic review. BMJ 2009;338:1305–8. https://doi.org/10.1136/bmj.b1574.</w:t>
      </w:r>
    </w:p>
    <w:p w14:paraId="0D9E2784" w14:textId="77777777" w:rsidR="005323F4" w:rsidRPr="009E1CED" w:rsidRDefault="005323F4" w:rsidP="005323F4">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[3]</w:t>
      </w:r>
      <w:r w:rsidRPr="009E1CED">
        <w:rPr>
          <w:rFonts w:ascii="Arial" w:hAnsi="Arial" w:cs="Arial"/>
          <w:noProof/>
          <w:sz w:val="20"/>
          <w:szCs w:val="20"/>
        </w:rPr>
        <w:tab/>
        <w:t>Hill NS. Noninvasive ventilation in chronic obstructive pulmonary disease. Respir Care 2004;49:72–89. https://doi.org/10.1513/AnnalsATS.201810-657CME.</w:t>
      </w:r>
    </w:p>
    <w:p w14:paraId="075EB5DE" w14:textId="77777777" w:rsidR="005323F4" w:rsidRPr="009E1CED" w:rsidRDefault="005323F4" w:rsidP="005323F4">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[4]</w:t>
      </w:r>
      <w:r w:rsidRPr="009E1CED">
        <w:rPr>
          <w:rFonts w:ascii="Arial" w:hAnsi="Arial" w:cs="Arial"/>
          <w:noProof/>
          <w:sz w:val="20"/>
          <w:szCs w:val="20"/>
        </w:rPr>
        <w:tab/>
        <w:t>Ari A, Atalay OT, Harwood R, Sheard MM, Aljamhan EA, Fink JB. Influence of nebulizer type, position, and bias flow on aerosol drug delivery in simulated pediatric and adult lung models during mechanical ventilation. Respir Care 2010;55:845–51.</w:t>
      </w:r>
    </w:p>
    <w:p w14:paraId="5773C0FE" w14:textId="77777777" w:rsidR="005323F4" w:rsidRPr="009E1CED" w:rsidRDefault="005323F4" w:rsidP="005323F4">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[5]</w:t>
      </w:r>
      <w:r w:rsidRPr="009E1CED">
        <w:rPr>
          <w:rFonts w:ascii="Arial" w:hAnsi="Arial" w:cs="Arial"/>
          <w:noProof/>
          <w:sz w:val="20"/>
          <w:szCs w:val="20"/>
        </w:rPr>
        <w:tab/>
        <w:t>Ari A, Areabi H, Fink JB. Evaluation of aerosol generator devices at 3 locations in humidified and non-humidified circuits during adult mechanical ventilation. Respir Care 2010;55:837–44.</w:t>
      </w:r>
    </w:p>
    <w:p w14:paraId="0EBFA4B9" w14:textId="77777777" w:rsidR="005323F4" w:rsidRPr="009E1CED" w:rsidRDefault="005323F4" w:rsidP="005323F4">
      <w:pPr>
        <w:pStyle w:val="DDLBodyText"/>
        <w:rPr>
          <w:rFonts w:cs="Arial"/>
          <w:sz w:val="20"/>
          <w:lang w:val="en-US"/>
        </w:rPr>
      </w:pPr>
      <w:r w:rsidRPr="009E1CED">
        <w:rPr>
          <w:rFonts w:cs="Arial"/>
          <w:sz w:val="20"/>
          <w:lang w:val="en-US"/>
        </w:rPr>
        <w:fldChar w:fldCharType="end"/>
      </w:r>
    </w:p>
    <w:p w14:paraId="691EF584" w14:textId="77777777" w:rsidR="005323F4" w:rsidRPr="009E1CED" w:rsidRDefault="005323F4" w:rsidP="005323F4">
      <w:pPr>
        <w:pStyle w:val="DDLBodyText"/>
        <w:rPr>
          <w:rFonts w:cs="Arial"/>
          <w:sz w:val="20"/>
        </w:rPr>
      </w:pPr>
    </w:p>
    <w:p w14:paraId="6773A699" w14:textId="77777777" w:rsidR="005323F4" w:rsidRPr="009E1CED" w:rsidRDefault="005323F4" w:rsidP="001F6FEE">
      <w:pPr>
        <w:jc w:val="both"/>
        <w:rPr>
          <w:rFonts w:ascii="Arial" w:hAnsi="Arial" w:cs="Arial"/>
          <w:b/>
          <w:bCs/>
          <w:sz w:val="20"/>
          <w:szCs w:val="20"/>
        </w:rPr>
      </w:pPr>
    </w:p>
    <w:p w14:paraId="67D1C82B" w14:textId="77777777" w:rsidR="00C148C3" w:rsidRPr="009E1CED" w:rsidRDefault="00C148C3" w:rsidP="001F6FEE">
      <w:pPr>
        <w:jc w:val="both"/>
        <w:rPr>
          <w:rFonts w:ascii="Arial" w:hAnsi="Arial" w:cs="Arial"/>
          <w:b/>
          <w:bCs/>
          <w:sz w:val="20"/>
          <w:szCs w:val="20"/>
        </w:rPr>
      </w:pPr>
    </w:p>
    <w:p w14:paraId="6B83E8C9" w14:textId="77777777" w:rsidR="00C148C3" w:rsidRPr="009E1CED" w:rsidRDefault="00C148C3" w:rsidP="001F6FEE">
      <w:pPr>
        <w:jc w:val="both"/>
        <w:rPr>
          <w:rFonts w:ascii="Arial" w:hAnsi="Arial" w:cs="Arial"/>
          <w:b/>
          <w:bCs/>
          <w:sz w:val="20"/>
          <w:szCs w:val="20"/>
        </w:rPr>
      </w:pPr>
    </w:p>
    <w:p w14:paraId="4127F603" w14:textId="77777777" w:rsidR="00C148C3" w:rsidRPr="009E1CED" w:rsidRDefault="00C148C3" w:rsidP="001F6FEE">
      <w:pPr>
        <w:jc w:val="both"/>
        <w:rPr>
          <w:rFonts w:ascii="Arial" w:hAnsi="Arial" w:cs="Arial"/>
          <w:b/>
          <w:bCs/>
          <w:sz w:val="20"/>
          <w:szCs w:val="20"/>
        </w:rPr>
      </w:pPr>
    </w:p>
    <w:p w14:paraId="1A62689C" w14:textId="77777777" w:rsidR="00C148C3" w:rsidRPr="009E1CED" w:rsidRDefault="00C148C3" w:rsidP="001F6FEE">
      <w:pPr>
        <w:jc w:val="both"/>
        <w:rPr>
          <w:rFonts w:ascii="Arial" w:hAnsi="Arial" w:cs="Arial"/>
          <w:b/>
          <w:bCs/>
          <w:sz w:val="20"/>
          <w:szCs w:val="20"/>
        </w:rPr>
      </w:pPr>
    </w:p>
    <w:p w14:paraId="4C2821D3" w14:textId="77777777" w:rsidR="00C148C3" w:rsidRPr="009E1CED" w:rsidRDefault="00C148C3" w:rsidP="001F6FEE">
      <w:pPr>
        <w:jc w:val="both"/>
        <w:rPr>
          <w:rFonts w:ascii="Arial" w:hAnsi="Arial" w:cs="Arial"/>
          <w:b/>
          <w:bCs/>
          <w:sz w:val="20"/>
          <w:szCs w:val="20"/>
        </w:rPr>
      </w:pPr>
    </w:p>
    <w:p w14:paraId="1F5ACFEC" w14:textId="77777777" w:rsidR="00C148C3" w:rsidRPr="009E1CED" w:rsidRDefault="00C148C3" w:rsidP="001F6FEE">
      <w:pPr>
        <w:jc w:val="both"/>
        <w:rPr>
          <w:rFonts w:ascii="Arial" w:hAnsi="Arial" w:cs="Arial"/>
          <w:b/>
          <w:bCs/>
          <w:sz w:val="20"/>
          <w:szCs w:val="20"/>
        </w:rPr>
      </w:pPr>
    </w:p>
    <w:p w14:paraId="3980EE29" w14:textId="77777777" w:rsidR="00C148C3" w:rsidRPr="009E1CED" w:rsidRDefault="00C148C3" w:rsidP="001F6FEE">
      <w:pPr>
        <w:jc w:val="both"/>
        <w:rPr>
          <w:rFonts w:ascii="Arial" w:hAnsi="Arial" w:cs="Arial"/>
          <w:b/>
          <w:bCs/>
          <w:sz w:val="20"/>
          <w:szCs w:val="20"/>
        </w:rPr>
      </w:pPr>
    </w:p>
    <w:p w14:paraId="27614840" w14:textId="77777777" w:rsidR="00C148C3" w:rsidRPr="009E1CED" w:rsidRDefault="00C148C3" w:rsidP="001F6FEE">
      <w:pPr>
        <w:jc w:val="both"/>
        <w:rPr>
          <w:rFonts w:ascii="Arial" w:hAnsi="Arial" w:cs="Arial"/>
          <w:b/>
          <w:bCs/>
          <w:sz w:val="20"/>
          <w:szCs w:val="20"/>
        </w:rPr>
      </w:pPr>
    </w:p>
    <w:p w14:paraId="3B4AA741" w14:textId="77777777" w:rsidR="00C148C3" w:rsidRPr="009E1CED" w:rsidRDefault="00C148C3" w:rsidP="001F6FEE">
      <w:pPr>
        <w:jc w:val="both"/>
        <w:rPr>
          <w:rFonts w:ascii="Arial" w:hAnsi="Arial" w:cs="Arial"/>
          <w:b/>
          <w:bCs/>
          <w:sz w:val="20"/>
          <w:szCs w:val="20"/>
        </w:rPr>
      </w:pPr>
    </w:p>
    <w:p w14:paraId="0F85BAC0" w14:textId="77777777" w:rsidR="00C148C3" w:rsidRPr="009E1CED" w:rsidRDefault="00C148C3" w:rsidP="001F6FEE">
      <w:pPr>
        <w:jc w:val="both"/>
        <w:rPr>
          <w:rFonts w:ascii="Arial" w:hAnsi="Arial" w:cs="Arial"/>
          <w:b/>
          <w:bCs/>
          <w:sz w:val="20"/>
          <w:szCs w:val="20"/>
        </w:rPr>
      </w:pPr>
    </w:p>
    <w:p w14:paraId="0BFD2A0C" w14:textId="77777777" w:rsidR="005323F4" w:rsidRPr="009E1CED" w:rsidRDefault="005323F4" w:rsidP="001F6FEE">
      <w:pPr>
        <w:jc w:val="both"/>
        <w:rPr>
          <w:rFonts w:ascii="Arial" w:hAnsi="Arial" w:cs="Arial"/>
          <w:b/>
          <w:bCs/>
          <w:sz w:val="20"/>
          <w:szCs w:val="20"/>
        </w:rPr>
      </w:pPr>
    </w:p>
    <w:p w14:paraId="3E04A110" w14:textId="77777777" w:rsidR="005323F4" w:rsidRPr="009E1CED" w:rsidRDefault="005323F4" w:rsidP="001F6FEE">
      <w:pPr>
        <w:jc w:val="both"/>
        <w:rPr>
          <w:rFonts w:ascii="Arial" w:hAnsi="Arial" w:cs="Arial"/>
          <w:b/>
          <w:bCs/>
          <w:sz w:val="20"/>
          <w:szCs w:val="20"/>
        </w:rPr>
      </w:pPr>
    </w:p>
    <w:p w14:paraId="6BCEA3C3" w14:textId="77777777" w:rsidR="005323F4" w:rsidRPr="009E1CED" w:rsidRDefault="005323F4" w:rsidP="001F6FEE">
      <w:pPr>
        <w:jc w:val="both"/>
        <w:rPr>
          <w:rFonts w:ascii="Arial" w:hAnsi="Arial" w:cs="Arial"/>
          <w:b/>
          <w:bCs/>
          <w:sz w:val="20"/>
          <w:szCs w:val="20"/>
        </w:rPr>
      </w:pPr>
    </w:p>
    <w:p w14:paraId="0EF741BE" w14:textId="77777777" w:rsidR="005323F4" w:rsidRPr="009E1CED" w:rsidRDefault="005323F4" w:rsidP="001F6FEE">
      <w:pPr>
        <w:jc w:val="both"/>
        <w:rPr>
          <w:rFonts w:ascii="Arial" w:hAnsi="Arial" w:cs="Arial"/>
          <w:b/>
          <w:bCs/>
          <w:sz w:val="20"/>
          <w:szCs w:val="20"/>
        </w:rPr>
      </w:pPr>
    </w:p>
    <w:p w14:paraId="617C70FF" w14:textId="77777777" w:rsidR="005323F4" w:rsidRPr="009E1CED" w:rsidRDefault="005323F4" w:rsidP="001F6FEE">
      <w:pPr>
        <w:jc w:val="both"/>
        <w:rPr>
          <w:rFonts w:ascii="Arial" w:hAnsi="Arial" w:cs="Arial"/>
          <w:b/>
          <w:bCs/>
          <w:sz w:val="20"/>
          <w:szCs w:val="20"/>
        </w:rPr>
      </w:pPr>
    </w:p>
    <w:p w14:paraId="0BC30ABC" w14:textId="77777777" w:rsidR="005323F4" w:rsidRPr="009E1CED" w:rsidRDefault="005323F4" w:rsidP="001F6FEE">
      <w:pPr>
        <w:jc w:val="both"/>
        <w:rPr>
          <w:rFonts w:ascii="Arial" w:hAnsi="Arial" w:cs="Arial"/>
          <w:b/>
          <w:bCs/>
          <w:sz w:val="20"/>
          <w:szCs w:val="20"/>
        </w:rPr>
      </w:pPr>
    </w:p>
    <w:p w14:paraId="3C6E45E9" w14:textId="77777777" w:rsidR="005323F4" w:rsidRPr="009E1CED" w:rsidRDefault="005323F4" w:rsidP="001F6FEE">
      <w:pPr>
        <w:jc w:val="both"/>
        <w:rPr>
          <w:rFonts w:ascii="Arial" w:hAnsi="Arial" w:cs="Arial"/>
          <w:b/>
          <w:bCs/>
          <w:sz w:val="20"/>
          <w:szCs w:val="20"/>
        </w:rPr>
      </w:pPr>
    </w:p>
    <w:p w14:paraId="67F194E8" w14:textId="77777777" w:rsidR="005323F4" w:rsidRPr="009E1CED" w:rsidRDefault="005323F4" w:rsidP="001F6FEE">
      <w:pPr>
        <w:jc w:val="both"/>
        <w:rPr>
          <w:rFonts w:ascii="Arial" w:hAnsi="Arial" w:cs="Arial"/>
          <w:b/>
          <w:bCs/>
          <w:sz w:val="20"/>
          <w:szCs w:val="20"/>
        </w:rPr>
      </w:pPr>
    </w:p>
    <w:p w14:paraId="75325256" w14:textId="77777777" w:rsidR="005323F4" w:rsidRPr="009E1CED" w:rsidRDefault="005323F4" w:rsidP="001F6FEE">
      <w:pPr>
        <w:jc w:val="both"/>
        <w:rPr>
          <w:rFonts w:ascii="Arial" w:hAnsi="Arial" w:cs="Arial"/>
          <w:b/>
          <w:bCs/>
          <w:sz w:val="20"/>
          <w:szCs w:val="20"/>
        </w:rPr>
      </w:pPr>
    </w:p>
    <w:p w14:paraId="243E006C" w14:textId="77777777" w:rsidR="005323F4" w:rsidRDefault="005323F4" w:rsidP="001F6FEE">
      <w:pPr>
        <w:jc w:val="both"/>
        <w:rPr>
          <w:rFonts w:ascii="Arial" w:hAnsi="Arial" w:cs="Arial"/>
          <w:b/>
          <w:bCs/>
          <w:sz w:val="20"/>
          <w:szCs w:val="20"/>
        </w:rPr>
      </w:pPr>
    </w:p>
    <w:p w14:paraId="18C439D4" w14:textId="77777777" w:rsidR="009E1CED" w:rsidRDefault="009E1CED" w:rsidP="001F6FEE">
      <w:pPr>
        <w:jc w:val="both"/>
        <w:rPr>
          <w:rFonts w:ascii="Arial" w:hAnsi="Arial" w:cs="Arial"/>
          <w:b/>
          <w:bCs/>
          <w:sz w:val="20"/>
          <w:szCs w:val="20"/>
        </w:rPr>
      </w:pPr>
    </w:p>
    <w:p w14:paraId="6C0EE301" w14:textId="77777777" w:rsidR="009E1CED" w:rsidRDefault="009E1CED" w:rsidP="001F6FEE">
      <w:pPr>
        <w:jc w:val="both"/>
        <w:rPr>
          <w:rFonts w:ascii="Arial" w:hAnsi="Arial" w:cs="Arial"/>
          <w:b/>
          <w:bCs/>
          <w:sz w:val="20"/>
          <w:szCs w:val="20"/>
        </w:rPr>
      </w:pPr>
    </w:p>
    <w:p w14:paraId="4A3B62F9" w14:textId="77777777" w:rsidR="009E1CED" w:rsidRDefault="009E1CED" w:rsidP="001F6FEE">
      <w:pPr>
        <w:jc w:val="both"/>
        <w:rPr>
          <w:rFonts w:ascii="Arial" w:hAnsi="Arial" w:cs="Arial"/>
          <w:b/>
          <w:bCs/>
          <w:sz w:val="20"/>
          <w:szCs w:val="20"/>
        </w:rPr>
      </w:pPr>
    </w:p>
    <w:p w14:paraId="31DC8E16" w14:textId="77777777" w:rsidR="009E1CED" w:rsidRPr="009E1CED" w:rsidRDefault="009E1CED" w:rsidP="001F6FEE">
      <w:pPr>
        <w:jc w:val="both"/>
        <w:rPr>
          <w:rFonts w:ascii="Arial" w:hAnsi="Arial" w:cs="Arial"/>
          <w:b/>
          <w:bCs/>
          <w:sz w:val="20"/>
          <w:szCs w:val="20"/>
        </w:rPr>
      </w:pPr>
    </w:p>
    <w:p w14:paraId="2812684F" w14:textId="77777777" w:rsidR="005323F4" w:rsidRPr="009E1CED" w:rsidRDefault="005323F4" w:rsidP="005323F4">
      <w:pPr>
        <w:jc w:val="both"/>
        <w:rPr>
          <w:rFonts w:ascii="Arial" w:hAnsi="Arial" w:cs="Arial"/>
          <w:b/>
          <w:bCs/>
          <w:sz w:val="20"/>
          <w:szCs w:val="20"/>
        </w:rPr>
      </w:pPr>
      <w:r w:rsidRPr="009E1CED">
        <w:rPr>
          <w:rFonts w:ascii="Arial" w:hAnsi="Arial" w:cs="Arial"/>
          <w:b/>
          <w:bCs/>
          <w:sz w:val="20"/>
          <w:szCs w:val="20"/>
        </w:rPr>
        <w:lastRenderedPageBreak/>
        <w:t>Poster Presentation</w:t>
      </w:r>
    </w:p>
    <w:p w14:paraId="52D6B136"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INVESTIGATION OF MASS BALANCE ACHIEVED BY ANDERSEN THIRD GENERATION (A3G) CASCADE IMPACTOR DURING AERODYNAMIC PARTICLE SIZE ANALYSIS OF FLOVENT HFA</w:t>
      </w:r>
    </w:p>
    <w:p w14:paraId="29B7C96B" w14:textId="70267367" w:rsidR="005323F4" w:rsidRPr="009E1CED" w:rsidRDefault="005323F4" w:rsidP="009E1CED">
      <w:pPr>
        <w:shd w:val="clear" w:color="auto" w:fill="FFFFFF"/>
        <w:spacing w:after="0" w:line="360" w:lineRule="auto"/>
        <w:rPr>
          <w:rFonts w:ascii="Arial" w:hAnsi="Arial" w:cs="Arial"/>
          <w:sz w:val="20"/>
          <w:szCs w:val="20"/>
          <w:vertAlign w:val="superscript"/>
        </w:rPr>
      </w:pPr>
      <w:r w:rsidRPr="009E1CED">
        <w:rPr>
          <w:rFonts w:ascii="Arial" w:hAnsi="Arial" w:cs="Arial"/>
          <w:sz w:val="20"/>
          <w:szCs w:val="20"/>
        </w:rPr>
        <w:t>Rajesh Maheshwari</w:t>
      </w:r>
      <w:r w:rsidRPr="009E1CED">
        <w:rPr>
          <w:rFonts w:ascii="Arial" w:eastAsia="Times New Roman" w:hAnsi="Arial" w:cs="Arial"/>
          <w:color w:val="222222"/>
          <w:sz w:val="20"/>
          <w:szCs w:val="20"/>
          <w:vertAlign w:val="superscript"/>
        </w:rPr>
        <w:t>1</w:t>
      </w:r>
      <w:r w:rsidRPr="009E1CED">
        <w:rPr>
          <w:rFonts w:ascii="Arial" w:eastAsia="Times New Roman" w:hAnsi="Arial" w:cs="Arial"/>
          <w:color w:val="222222"/>
          <w:sz w:val="20"/>
          <w:szCs w:val="20"/>
        </w:rPr>
        <w:t>, Brajesh Kumar Thakur</w:t>
      </w:r>
      <w:r w:rsidRPr="009E1CED">
        <w:rPr>
          <w:rFonts w:ascii="Arial" w:eastAsia="Times New Roman" w:hAnsi="Arial" w:cs="Arial"/>
          <w:color w:val="222222"/>
          <w:sz w:val="20"/>
          <w:szCs w:val="20"/>
          <w:vertAlign w:val="superscript"/>
        </w:rPr>
        <w:t>2</w:t>
      </w:r>
      <w:r w:rsidRPr="009E1CED">
        <w:rPr>
          <w:rFonts w:ascii="Arial" w:hAnsi="Arial" w:cs="Arial"/>
          <w:sz w:val="20"/>
          <w:szCs w:val="20"/>
        </w:rPr>
        <w:t>, G.Kesavan</w:t>
      </w:r>
      <w:r w:rsidRPr="009E1CED">
        <w:rPr>
          <w:rFonts w:ascii="Arial" w:eastAsia="Times New Roman" w:hAnsi="Arial" w:cs="Arial"/>
          <w:color w:val="222222"/>
          <w:sz w:val="20"/>
          <w:szCs w:val="20"/>
          <w:vertAlign w:val="superscript"/>
        </w:rPr>
        <w:t>2</w:t>
      </w:r>
      <w:r w:rsidRPr="009E1CED">
        <w:rPr>
          <w:rFonts w:ascii="Arial" w:hAnsi="Arial" w:cs="Arial"/>
          <w:sz w:val="20"/>
          <w:szCs w:val="20"/>
        </w:rPr>
        <w:t>, Ritu Laddha</w:t>
      </w:r>
      <w:r w:rsidRPr="009E1CED">
        <w:rPr>
          <w:rFonts w:ascii="Arial" w:hAnsi="Arial" w:cs="Arial"/>
          <w:sz w:val="20"/>
          <w:szCs w:val="20"/>
          <w:vertAlign w:val="superscript"/>
        </w:rPr>
        <w:t>2</w:t>
      </w:r>
      <w:r w:rsidRPr="009E1CED">
        <w:rPr>
          <w:rFonts w:ascii="Arial" w:hAnsi="Arial" w:cs="Arial"/>
          <w:sz w:val="20"/>
          <w:szCs w:val="20"/>
        </w:rPr>
        <w:t>, Ravindra K Kotak</w:t>
      </w:r>
      <w:r w:rsidRPr="009E1CED">
        <w:rPr>
          <w:rFonts w:ascii="Arial" w:eastAsia="Times New Roman" w:hAnsi="Arial" w:cs="Arial"/>
          <w:color w:val="222222"/>
          <w:sz w:val="20"/>
          <w:szCs w:val="20"/>
          <w:vertAlign w:val="superscript"/>
        </w:rPr>
        <w:t>2</w:t>
      </w:r>
      <w:r w:rsidRPr="009E1CED">
        <w:rPr>
          <w:rFonts w:ascii="Arial" w:hAnsi="Arial" w:cs="Arial"/>
          <w:sz w:val="20"/>
          <w:szCs w:val="20"/>
        </w:rPr>
        <w:t>, Apurv J Patel</w:t>
      </w:r>
      <w:r w:rsidRPr="009E1CED">
        <w:rPr>
          <w:rFonts w:ascii="Arial" w:eastAsia="Times New Roman" w:hAnsi="Arial" w:cs="Arial"/>
          <w:color w:val="222222"/>
          <w:sz w:val="20"/>
          <w:szCs w:val="20"/>
          <w:vertAlign w:val="superscript"/>
        </w:rPr>
        <w:t>2</w:t>
      </w:r>
    </w:p>
    <w:p w14:paraId="0AB6C47F" w14:textId="77777777" w:rsidR="005323F4" w:rsidRPr="009E1CED" w:rsidRDefault="005323F4" w:rsidP="005323F4">
      <w:pPr>
        <w:shd w:val="clear" w:color="auto" w:fill="FFFFFF"/>
        <w:spacing w:after="0" w:line="360" w:lineRule="auto"/>
        <w:rPr>
          <w:rFonts w:ascii="Arial" w:hAnsi="Arial" w:cs="Arial"/>
          <w:sz w:val="20"/>
          <w:szCs w:val="20"/>
          <w:lang w:val="fr-FR"/>
        </w:rPr>
      </w:pPr>
      <w:r w:rsidRPr="009E1CED">
        <w:rPr>
          <w:rFonts w:ascii="Arial" w:eastAsia="Times New Roman" w:hAnsi="Arial" w:cs="Arial"/>
          <w:color w:val="222222"/>
          <w:sz w:val="20"/>
          <w:szCs w:val="20"/>
          <w:vertAlign w:val="superscript"/>
          <w:lang w:val="fr-FR"/>
        </w:rPr>
        <w:t>1</w:t>
      </w:r>
      <w:r w:rsidRPr="009E1CED">
        <w:rPr>
          <w:rFonts w:ascii="Arial" w:eastAsia="Times New Roman" w:hAnsi="Arial" w:cs="Arial"/>
          <w:color w:val="222222"/>
          <w:sz w:val="20"/>
          <w:szCs w:val="20"/>
          <w:lang w:val="fr-FR"/>
        </w:rPr>
        <w:t xml:space="preserve"> </w:t>
      </w:r>
      <w:r w:rsidRPr="009E1CED">
        <w:rPr>
          <w:rFonts w:ascii="Arial" w:hAnsi="Arial" w:cs="Arial"/>
          <w:sz w:val="20"/>
          <w:szCs w:val="20"/>
          <w:lang w:val="fr-FR"/>
        </w:rPr>
        <w:t>Lab Automate Technologies Inc, Millburn, NJ, USA</w:t>
      </w:r>
    </w:p>
    <w:p w14:paraId="42057029" w14:textId="1C4C39EB" w:rsidR="005323F4" w:rsidRPr="009E1CED" w:rsidRDefault="005323F4" w:rsidP="005323F4">
      <w:pPr>
        <w:shd w:val="clear" w:color="auto" w:fill="FFFFFF"/>
        <w:spacing w:after="0" w:line="360" w:lineRule="auto"/>
        <w:rPr>
          <w:rFonts w:ascii="Arial" w:eastAsia="Times New Roman" w:hAnsi="Arial" w:cs="Arial"/>
          <w:color w:val="222222"/>
          <w:sz w:val="20"/>
          <w:szCs w:val="20"/>
        </w:rPr>
      </w:pPr>
      <w:r w:rsidRPr="009E1CED">
        <w:rPr>
          <w:rFonts w:ascii="Arial" w:eastAsia="Times New Roman" w:hAnsi="Arial" w:cs="Arial"/>
          <w:color w:val="222222"/>
          <w:sz w:val="20"/>
          <w:szCs w:val="20"/>
          <w:vertAlign w:val="superscript"/>
        </w:rPr>
        <w:t>2</w:t>
      </w:r>
      <w:r w:rsidRPr="009E1CED">
        <w:rPr>
          <w:rFonts w:ascii="Arial" w:eastAsia="Times New Roman" w:hAnsi="Arial" w:cs="Arial"/>
          <w:color w:val="222222"/>
          <w:sz w:val="20"/>
          <w:szCs w:val="20"/>
        </w:rPr>
        <w:t xml:space="preserve"> </w:t>
      </w:r>
      <w:r w:rsidRPr="009E1CED">
        <w:rPr>
          <w:rFonts w:ascii="Arial" w:hAnsi="Arial" w:cs="Arial"/>
          <w:sz w:val="20"/>
          <w:szCs w:val="20"/>
        </w:rPr>
        <w:t>Zydus Cadila Healthcare Ltd, Ahmedabad, India</w:t>
      </w:r>
    </w:p>
    <w:p w14:paraId="3BF333A4" w14:textId="77777777" w:rsidR="005323F4" w:rsidRPr="009E1CED" w:rsidRDefault="005323F4" w:rsidP="005323F4">
      <w:pPr>
        <w:shd w:val="clear" w:color="auto" w:fill="FFFFFF"/>
        <w:spacing w:after="0" w:line="360" w:lineRule="auto"/>
        <w:rPr>
          <w:rFonts w:ascii="Arial" w:eastAsia="Times New Roman" w:hAnsi="Arial" w:cs="Arial"/>
          <w:color w:val="222222"/>
          <w:sz w:val="20"/>
          <w:szCs w:val="20"/>
        </w:rPr>
      </w:pPr>
    </w:p>
    <w:p w14:paraId="2D564CDB" w14:textId="4C192E9D" w:rsidR="005323F4" w:rsidRPr="009E1CED" w:rsidRDefault="005323F4" w:rsidP="005323F4">
      <w:pPr>
        <w:autoSpaceDE w:val="0"/>
        <w:autoSpaceDN w:val="0"/>
        <w:adjustRightInd w:val="0"/>
        <w:spacing w:after="0" w:line="360" w:lineRule="auto"/>
        <w:rPr>
          <w:rFonts w:ascii="Arial" w:hAnsi="Arial" w:cs="Arial"/>
          <w:bCs/>
          <w:color w:val="000000"/>
          <w:sz w:val="20"/>
          <w:szCs w:val="20"/>
        </w:rPr>
      </w:pPr>
      <w:r w:rsidRPr="009E1CED">
        <w:rPr>
          <w:rFonts w:ascii="Arial" w:hAnsi="Arial" w:cs="Arial"/>
          <w:b/>
          <w:bCs/>
          <w:color w:val="000000"/>
          <w:sz w:val="20"/>
          <w:szCs w:val="20"/>
        </w:rPr>
        <w:t>KEYWORDS</w:t>
      </w:r>
      <w:r w:rsidRPr="009E1CED">
        <w:rPr>
          <w:rFonts w:ascii="Arial" w:hAnsi="Arial" w:cs="Arial"/>
          <w:bCs/>
          <w:color w:val="000000"/>
          <w:sz w:val="20"/>
          <w:szCs w:val="20"/>
        </w:rPr>
        <w:t xml:space="preserve">: Andersen third generation (A3G), Andersen cascade impactor (ACI), aerodynamic particle size distribution (APSD), mass balance, </w:t>
      </w:r>
      <w:r w:rsidRPr="009E1CED">
        <w:rPr>
          <w:rFonts w:ascii="Arial" w:hAnsi="Arial" w:cs="Arial"/>
          <w:bCs/>
          <w:sz w:val="20"/>
          <w:szCs w:val="20"/>
        </w:rPr>
        <w:t>fluticasone propionate</w:t>
      </w:r>
    </w:p>
    <w:p w14:paraId="4D9FE1A1" w14:textId="77777777" w:rsidR="009E1CED" w:rsidRDefault="009E1CED" w:rsidP="005323F4">
      <w:pPr>
        <w:spacing w:after="0" w:line="360" w:lineRule="auto"/>
        <w:jc w:val="center"/>
        <w:rPr>
          <w:rFonts w:ascii="Arial" w:eastAsia="Times New Roman" w:hAnsi="Arial" w:cs="Arial"/>
          <w:b/>
          <w:color w:val="222222"/>
          <w:sz w:val="20"/>
          <w:szCs w:val="20"/>
        </w:rPr>
      </w:pPr>
    </w:p>
    <w:p w14:paraId="62CF4A78" w14:textId="2F398B40" w:rsidR="005323F4" w:rsidRPr="009E1CED" w:rsidRDefault="005323F4" w:rsidP="005323F4">
      <w:pPr>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INTRODUCTION</w:t>
      </w:r>
    </w:p>
    <w:p w14:paraId="5EAADF7A" w14:textId="6F364EC1" w:rsidR="005323F4" w:rsidRPr="009E1CED" w:rsidRDefault="005323F4" w:rsidP="005323F4">
      <w:pPr>
        <w:spacing w:after="0" w:line="360" w:lineRule="auto"/>
        <w:jc w:val="both"/>
        <w:rPr>
          <w:rFonts w:ascii="Arial" w:hAnsi="Arial" w:cs="Arial"/>
          <w:sz w:val="20"/>
          <w:szCs w:val="20"/>
        </w:rPr>
      </w:pPr>
      <w:r w:rsidRPr="009E1CED">
        <w:rPr>
          <w:rFonts w:ascii="Arial" w:hAnsi="Arial" w:cs="Arial"/>
          <w:bCs/>
          <w:color w:val="000000"/>
          <w:sz w:val="20"/>
          <w:szCs w:val="20"/>
        </w:rPr>
        <w:t xml:space="preserve">The Andersen Cascade Impactor (ACI), and Next Generation Impactor (NGI) were designed for manual operation, which makes data generation </w:t>
      </w:r>
      <w:r w:rsidRPr="009E1CED">
        <w:rPr>
          <w:rFonts w:ascii="Arial" w:hAnsi="Arial" w:cs="Arial"/>
          <w:sz w:val="20"/>
          <w:szCs w:val="20"/>
        </w:rPr>
        <w:t>slow and prone to operator-induced variability [1]. Since measurement of aerodynamic particle size distribution (APSD) is of critical importance to the development of inhaled aerosol products, and replicated testing is required during basic formulation, bioequivalence, and stability studies, these disadvantages can slow down product development and complicate the interpretation of results, which potentially leads to longer approval times. The A</w:t>
      </w:r>
      <w:r w:rsidRPr="009E1CED">
        <w:rPr>
          <w:rFonts w:ascii="Arial" w:hAnsi="Arial" w:cs="Arial"/>
          <w:bCs/>
          <w:color w:val="000000"/>
          <w:sz w:val="20"/>
          <w:szCs w:val="20"/>
        </w:rPr>
        <w:t>ndersen third generation (</w:t>
      </w:r>
      <w:r w:rsidRPr="009E1CED">
        <w:rPr>
          <w:rFonts w:ascii="Arial" w:hAnsi="Arial" w:cs="Arial"/>
          <w:sz w:val="20"/>
          <w:szCs w:val="20"/>
        </w:rPr>
        <w:t>A3G) cascade impactor was designed to take advantage of the validated geometry and particle sizing capabilities of the conventional ACI, but through the use of robotics, reduce the APSD sample preparation time to less than 25 minutes per run. In this abstract we investigate the ability of the A3G to consistently yield a high mass balance during ASPD experiments using Flovent® HFA pMDI. A high and reproducible mass balance is an important validation step in the aerodynamic sizing of inhaled products.</w:t>
      </w:r>
    </w:p>
    <w:p w14:paraId="5C4C28E8" w14:textId="77777777" w:rsidR="005323F4" w:rsidRPr="009E1CED" w:rsidRDefault="005323F4" w:rsidP="005323F4">
      <w:pPr>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MATERIALS AND METHODS</w:t>
      </w:r>
    </w:p>
    <w:p w14:paraId="70CA2119" w14:textId="77777777" w:rsidR="005323F4" w:rsidRPr="009E1CED" w:rsidRDefault="005323F4" w:rsidP="005323F4">
      <w:pPr>
        <w:shd w:val="clear" w:color="auto" w:fill="FFFFFF"/>
        <w:spacing w:after="0" w:line="360" w:lineRule="auto"/>
        <w:jc w:val="both"/>
        <w:rPr>
          <w:rFonts w:ascii="Arial" w:hAnsi="Arial" w:cs="Arial"/>
          <w:bCs/>
          <w:sz w:val="20"/>
          <w:szCs w:val="20"/>
        </w:rPr>
      </w:pPr>
      <w:r w:rsidRPr="009E1CED">
        <w:rPr>
          <w:rFonts w:ascii="Arial" w:hAnsi="Arial" w:cs="Arial"/>
          <w:b/>
          <w:sz w:val="20"/>
          <w:szCs w:val="20"/>
        </w:rPr>
        <w:t>Test Article</w:t>
      </w:r>
      <w:r w:rsidRPr="009E1CED">
        <w:rPr>
          <w:rFonts w:ascii="Arial" w:hAnsi="Arial" w:cs="Arial"/>
          <w:bCs/>
          <w:sz w:val="20"/>
          <w:szCs w:val="20"/>
        </w:rPr>
        <w:t>: Flovent HFA (GlaxoSmithKline,</w:t>
      </w:r>
      <w:r w:rsidRPr="009E1CED">
        <w:rPr>
          <w:rFonts w:ascii="Arial" w:hAnsi="Arial" w:cs="Arial"/>
          <w:sz w:val="20"/>
          <w:szCs w:val="20"/>
        </w:rPr>
        <w:t xml:space="preserve"> </w:t>
      </w:r>
      <w:r w:rsidRPr="009E1CED">
        <w:rPr>
          <w:rFonts w:ascii="Arial" w:hAnsi="Arial" w:cs="Arial"/>
          <w:bCs/>
          <w:sz w:val="20"/>
          <w:szCs w:val="20"/>
        </w:rPr>
        <w:t>fluticasone propionate inhalation aerosol, with a Label Claim of 220 mcg per spray) was used as purchased.</w:t>
      </w:r>
    </w:p>
    <w:p w14:paraId="1564AD9A" w14:textId="77777777" w:rsidR="005323F4" w:rsidRPr="009E1CED" w:rsidRDefault="005323F4" w:rsidP="005323F4">
      <w:pPr>
        <w:shd w:val="clear" w:color="auto" w:fill="FFFFFF"/>
        <w:spacing w:after="0" w:line="360" w:lineRule="auto"/>
        <w:jc w:val="both"/>
        <w:rPr>
          <w:rFonts w:ascii="Arial" w:hAnsi="Arial" w:cs="Arial"/>
          <w:sz w:val="20"/>
          <w:szCs w:val="20"/>
        </w:rPr>
      </w:pPr>
      <w:r w:rsidRPr="009E1CED">
        <w:rPr>
          <w:rFonts w:ascii="Arial" w:hAnsi="Arial" w:cs="Arial"/>
          <w:b/>
          <w:sz w:val="20"/>
          <w:szCs w:val="20"/>
        </w:rPr>
        <w:t>Fluticasone Assay</w:t>
      </w:r>
      <w:r w:rsidRPr="009E1CED">
        <w:rPr>
          <w:rFonts w:ascii="Arial" w:hAnsi="Arial" w:cs="Arial"/>
          <w:bCs/>
          <w:sz w:val="20"/>
          <w:szCs w:val="20"/>
        </w:rPr>
        <w:t xml:space="preserve">: </w:t>
      </w:r>
      <w:r w:rsidRPr="009E1CED">
        <w:rPr>
          <w:rFonts w:ascii="Arial" w:eastAsia="Times New Roman" w:hAnsi="Arial" w:cs="Arial"/>
          <w:bCs/>
          <w:sz w:val="20"/>
          <w:szCs w:val="20"/>
        </w:rPr>
        <w:t xml:space="preserve">A reverse phase </w:t>
      </w:r>
      <w:r w:rsidRPr="009E1CED">
        <w:rPr>
          <w:rFonts w:ascii="Arial" w:hAnsi="Arial" w:cs="Arial"/>
          <w:bCs/>
          <w:sz w:val="20"/>
          <w:szCs w:val="20"/>
        </w:rPr>
        <w:t>High Performance Liquid Chromatography (</w:t>
      </w:r>
      <w:r w:rsidRPr="009E1CED">
        <w:rPr>
          <w:rFonts w:ascii="Arial" w:eastAsia="Times New Roman" w:hAnsi="Arial" w:cs="Arial"/>
          <w:bCs/>
          <w:sz w:val="20"/>
          <w:szCs w:val="20"/>
        </w:rPr>
        <w:t>HPLC) method for detection of fluticasone was developed based on the</w:t>
      </w:r>
      <w:r w:rsidRPr="009E1CED">
        <w:rPr>
          <w:rFonts w:ascii="Arial" w:eastAsia="Times New Roman" w:hAnsi="Arial" w:cs="Arial"/>
          <w:bCs/>
          <w:color w:val="222222"/>
          <w:sz w:val="20"/>
          <w:szCs w:val="20"/>
        </w:rPr>
        <w:t xml:space="preserve"> corresponding United States Pharmacopeial monograph (USP-39) [2]</w:t>
      </w:r>
      <w:r w:rsidRPr="009E1CED">
        <w:rPr>
          <w:rFonts w:ascii="Arial" w:hAnsi="Arial" w:cs="Arial"/>
          <w:sz w:val="20"/>
          <w:szCs w:val="20"/>
        </w:rPr>
        <w:t>.</w:t>
      </w:r>
      <w:r w:rsidRPr="009E1CED">
        <w:rPr>
          <w:rFonts w:ascii="Arial" w:eastAsia="Times New Roman" w:hAnsi="Arial" w:cs="Arial"/>
          <w:bCs/>
          <w:color w:val="222222"/>
          <w:sz w:val="20"/>
          <w:szCs w:val="20"/>
        </w:rPr>
        <w:t xml:space="preserve"> </w:t>
      </w:r>
      <w:r w:rsidRPr="009E1CED">
        <w:rPr>
          <w:rFonts w:ascii="Arial" w:hAnsi="Arial" w:cs="Arial"/>
          <w:bCs/>
          <w:sz w:val="20"/>
          <w:szCs w:val="20"/>
        </w:rPr>
        <w:t>Fluticasone propionate API and HPLC grade reagents (Zydus Cadila Healtcare Ltd., Gujarat, India) were used for assay development on a</w:t>
      </w:r>
      <w:r w:rsidRPr="009E1CED">
        <w:rPr>
          <w:rFonts w:ascii="Arial" w:eastAsia="Times New Roman" w:hAnsi="Arial" w:cs="Arial"/>
          <w:bCs/>
          <w:color w:val="222222"/>
          <w:sz w:val="20"/>
          <w:szCs w:val="20"/>
        </w:rPr>
        <w:t xml:space="preserve"> </w:t>
      </w:r>
      <w:r w:rsidRPr="009E1CED">
        <w:rPr>
          <w:rFonts w:ascii="Arial" w:hAnsi="Arial" w:cs="Arial"/>
          <w:sz w:val="20"/>
          <w:szCs w:val="20"/>
        </w:rPr>
        <w:t>Shimadzu LC-2010C HPLC equipped with a XTerra RP 18 (5 µm) column maintained at 40 °C.</w:t>
      </w:r>
      <w:r w:rsidRPr="009E1CED">
        <w:rPr>
          <w:rFonts w:ascii="Arial" w:eastAsia="Times New Roman" w:hAnsi="Arial" w:cs="Arial"/>
          <w:b/>
          <w:color w:val="222222"/>
          <w:sz w:val="20"/>
          <w:szCs w:val="20"/>
        </w:rPr>
        <w:t xml:space="preserve"> </w:t>
      </w:r>
      <w:r w:rsidRPr="009E1CED">
        <w:rPr>
          <w:rFonts w:ascii="Arial" w:hAnsi="Arial" w:cs="Arial"/>
          <w:sz w:val="20"/>
          <w:szCs w:val="20"/>
        </w:rPr>
        <w:t>Injection volume was 50 µL, detection was at 239 nm and the total run time was 25 min. The mobile phase was comprised of acetonitrile and buffer solution (50:50 %v/v). The buffer solution contained 0.01M of sodium dodecyl sulfate and 0.1 %v/v glacial acetic acid in 20 %v/v aqueous methanol. The column was isocratically eluted at a flow rate of 2.0 mL/min.</w:t>
      </w:r>
    </w:p>
    <w:p w14:paraId="5264A79D" w14:textId="77777777" w:rsidR="005323F4" w:rsidRPr="009E1CED" w:rsidRDefault="005323F4" w:rsidP="005323F4">
      <w:pPr>
        <w:shd w:val="clear" w:color="auto" w:fill="FFFFFF"/>
        <w:spacing w:after="0" w:line="360" w:lineRule="auto"/>
        <w:jc w:val="both"/>
        <w:rPr>
          <w:rFonts w:ascii="Arial" w:eastAsia="Times New Roman" w:hAnsi="Arial" w:cs="Arial"/>
          <w:color w:val="222222"/>
          <w:sz w:val="20"/>
          <w:szCs w:val="20"/>
        </w:rPr>
      </w:pPr>
      <w:r w:rsidRPr="009E1CED">
        <w:rPr>
          <w:rFonts w:ascii="Arial" w:hAnsi="Arial" w:cs="Arial"/>
          <w:b/>
          <w:bCs/>
          <w:sz w:val="20"/>
          <w:szCs w:val="20"/>
        </w:rPr>
        <w:t>A3G Design and Operation</w:t>
      </w:r>
      <w:r w:rsidRPr="009E1CED">
        <w:rPr>
          <w:rFonts w:ascii="Arial" w:hAnsi="Arial" w:cs="Arial"/>
          <w:sz w:val="20"/>
          <w:szCs w:val="20"/>
        </w:rPr>
        <w:t xml:space="preserve">: The A3G is able to robotically assemble, disassemble, and recover drug from the stages of an Andersen Cascade Impactor before automatically cleaning, drying and reassembling column of stages containing impaction plates, and the terminal filter. Only the USP induction port, mouthpiece adaptor and inhaler must be mounted and dismounted manually for drug </w:t>
      </w:r>
      <w:r w:rsidRPr="009E1CED">
        <w:rPr>
          <w:rFonts w:ascii="Arial" w:hAnsi="Arial" w:cs="Arial"/>
          <w:sz w:val="20"/>
          <w:szCs w:val="20"/>
        </w:rPr>
        <w:lastRenderedPageBreak/>
        <w:t xml:space="preserve">recovery. </w:t>
      </w:r>
      <w:r w:rsidRPr="009E1CED">
        <w:rPr>
          <w:rFonts w:ascii="Arial" w:eastAsia="Times New Roman" w:hAnsi="Arial" w:cs="Arial"/>
          <w:color w:val="222222"/>
          <w:sz w:val="20"/>
          <w:szCs w:val="20"/>
        </w:rPr>
        <w:t>The equipment is described in detail elsewhere [3, 4], but basically has two operational systems. (1) a Collapsed Stage Column in which aerosol particles are fractionated according to their aerodynamic size under controlled air flow, and (2) an Isolator Column, in which individual ACI stages and plates are separated and enclosed in sealed chambers to facilitate drug recovery by quantitative washing of all internal surfaces. Unlike the conventional ACI, the A3G accomplishes these operations repeatedly without operator intervention, and has the additional benefit of</w:t>
      </w:r>
      <w:r w:rsidRPr="009E1CED">
        <w:rPr>
          <w:rFonts w:ascii="Arial" w:hAnsi="Arial" w:cs="Arial"/>
          <w:sz w:val="20"/>
          <w:szCs w:val="20"/>
        </w:rPr>
        <w:t xml:space="preserve"> </w:t>
      </w:r>
      <w:r w:rsidRPr="009E1CED">
        <w:rPr>
          <w:rFonts w:ascii="Arial" w:eastAsia="Times New Roman" w:hAnsi="Arial" w:cs="Arial"/>
          <w:color w:val="222222"/>
          <w:sz w:val="20"/>
          <w:szCs w:val="20"/>
        </w:rPr>
        <w:t>delivering the programmed volume of drug recovery solvent into each sealed chamber followed by programmed rocking a fixed number of times. The rocking algorithms used in the A3G are designed to force sample recovery solution through the stage jets to enhance drug dissolution and recovery. A subassembly of the A3G contains pumps, valves, and sample collection racks to accumulate samples for subsequent HPLC analysis. In these experiments the sample recovery solution was 60%v/v acetonitrile in water.</w:t>
      </w:r>
    </w:p>
    <w:p w14:paraId="40DA5E3D" w14:textId="77777777" w:rsidR="005323F4" w:rsidRPr="009E1CED" w:rsidRDefault="005323F4" w:rsidP="005323F4">
      <w:pPr>
        <w:shd w:val="clear" w:color="auto" w:fill="FFFFFF"/>
        <w:spacing w:after="0" w:line="240" w:lineRule="auto"/>
        <w:jc w:val="both"/>
        <w:rPr>
          <w:rFonts w:ascii="Arial" w:hAnsi="Arial" w:cs="Arial"/>
          <w:sz w:val="20"/>
          <w:szCs w:val="20"/>
        </w:rPr>
      </w:pPr>
    </w:p>
    <w:p w14:paraId="145E29C6" w14:textId="77777777" w:rsidR="005323F4" w:rsidRPr="009E1CED" w:rsidRDefault="005323F4" w:rsidP="005323F4">
      <w:pPr>
        <w:shd w:val="clear" w:color="auto" w:fill="FFFFFF"/>
        <w:spacing w:after="0" w:line="360" w:lineRule="auto"/>
        <w:ind w:left="1080" w:hanging="1080"/>
        <w:jc w:val="both"/>
        <w:rPr>
          <w:rFonts w:ascii="Arial" w:eastAsia="Times New Roman" w:hAnsi="Arial" w:cs="Arial"/>
          <w:color w:val="222222"/>
          <w:sz w:val="20"/>
          <w:szCs w:val="20"/>
        </w:rPr>
      </w:pPr>
      <w:r w:rsidRPr="009E1CED">
        <w:rPr>
          <w:rFonts w:ascii="Arial" w:eastAsia="Times New Roman" w:hAnsi="Arial" w:cs="Arial"/>
          <w:noProof/>
          <w:color w:val="222222"/>
          <w:sz w:val="20"/>
          <w:szCs w:val="20"/>
        </w:rPr>
        <w:drawing>
          <wp:anchor distT="0" distB="0" distL="114300" distR="114300" simplePos="0" relativeHeight="251659264" behindDoc="0" locked="0" layoutInCell="1" allowOverlap="1" wp14:anchorId="61EE4AA0" wp14:editId="0DB1C6AD">
            <wp:simplePos x="0" y="0"/>
            <wp:positionH relativeFrom="column">
              <wp:posOffset>-3175</wp:posOffset>
            </wp:positionH>
            <wp:positionV relativeFrom="paragraph">
              <wp:posOffset>45085</wp:posOffset>
            </wp:positionV>
            <wp:extent cx="1810385" cy="2176780"/>
            <wp:effectExtent l="0" t="0" r="0" b="0"/>
            <wp:wrapSquare wrapText="bothSides"/>
            <wp:docPr id="1" name="Picture 2" descr="C:\Users\Lab Automate Inc\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 Automate Inc\Desktop\FIG-1.jpg"/>
                    <pic:cNvPicPr>
                      <a:picLocks noChangeAspect="1" noChangeArrowheads="1"/>
                    </pic:cNvPicPr>
                  </pic:nvPicPr>
                  <pic:blipFill>
                    <a:blip r:embed="rId9" cstate="print">
                      <a:extLst>
                        <a:ext uri="{28A0092B-C50C-407E-A947-70E740481C1C}">
                          <a14:useLocalDpi xmlns:a14="http://schemas.microsoft.com/office/drawing/2010/main" val="0"/>
                        </a:ext>
                      </a:extLst>
                    </a:blip>
                    <a:srcRect b="45714"/>
                    <a:stretch>
                      <a:fillRect/>
                    </a:stretch>
                  </pic:blipFill>
                  <pic:spPr bwMode="auto">
                    <a:xfrm>
                      <a:off x="0" y="0"/>
                      <a:ext cx="1810385" cy="2176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E1CED">
        <w:rPr>
          <w:rFonts w:ascii="Arial" w:eastAsia="Times New Roman" w:hAnsi="Arial" w:cs="Arial"/>
          <w:color w:val="222222"/>
          <w:sz w:val="20"/>
          <w:szCs w:val="20"/>
        </w:rPr>
        <w:t>The pMDI is automatically agitated and discharged into the USP induction port by the Shaker/Actuator (Figure 1). Shake angle, acceleration, deceleration, velocity and number of times the pMDI is shaken are user selectable, as are the number of actuations and actuation force. The inhaler is robotically inserted in the mouthpiece adapter mounted on the induction port prior to each actuation.</w:t>
      </w:r>
    </w:p>
    <w:p w14:paraId="7B753BB6" w14:textId="77777777" w:rsidR="005323F4" w:rsidRPr="009E1CED" w:rsidRDefault="005323F4" w:rsidP="005323F4">
      <w:pPr>
        <w:rPr>
          <w:rFonts w:ascii="Arial" w:eastAsia="Times New Roman" w:hAnsi="Arial" w:cs="Arial"/>
          <w:color w:val="000000"/>
          <w:sz w:val="20"/>
          <w:szCs w:val="20"/>
        </w:rPr>
      </w:pPr>
    </w:p>
    <w:p w14:paraId="72180F5C" w14:textId="1F710FBF" w:rsidR="005323F4" w:rsidRPr="009E1CED" w:rsidRDefault="005323F4" w:rsidP="005323F4">
      <w:pPr>
        <w:shd w:val="clear" w:color="auto" w:fill="FFFFFF"/>
        <w:spacing w:after="0" w:line="360" w:lineRule="auto"/>
        <w:rPr>
          <w:rFonts w:ascii="Arial" w:eastAsia="Times New Roman" w:hAnsi="Arial" w:cs="Arial"/>
          <w:b/>
          <w:color w:val="222222"/>
          <w:sz w:val="20"/>
          <w:szCs w:val="20"/>
        </w:rPr>
      </w:pPr>
      <w:r w:rsidRPr="009E1CED">
        <w:rPr>
          <w:rFonts w:ascii="Arial" w:eastAsia="Times New Roman" w:hAnsi="Arial" w:cs="Arial"/>
          <w:noProof/>
          <w:color w:val="222222"/>
          <w:sz w:val="20"/>
          <w:szCs w:val="20"/>
        </w:rPr>
        <mc:AlternateContent>
          <mc:Choice Requires="wps">
            <w:drawing>
              <wp:anchor distT="0" distB="0" distL="114300" distR="114300" simplePos="0" relativeHeight="251660288" behindDoc="0" locked="0" layoutInCell="1" allowOverlap="1" wp14:anchorId="781F998F" wp14:editId="6F53046C">
                <wp:simplePos x="0" y="0"/>
                <wp:positionH relativeFrom="column">
                  <wp:posOffset>-1924685</wp:posOffset>
                </wp:positionH>
                <wp:positionV relativeFrom="paragraph">
                  <wp:posOffset>58420</wp:posOffset>
                </wp:positionV>
                <wp:extent cx="1807845" cy="1110615"/>
                <wp:effectExtent l="0" t="0" r="0" b="0"/>
                <wp:wrapSquare wrapText="bothSides"/>
                <wp:docPr id="464394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7845" cy="1110615"/>
                        </a:xfrm>
                        <a:prstGeom prst="rect">
                          <a:avLst/>
                        </a:prstGeom>
                        <a:solidFill>
                          <a:srgbClr val="FFFFFF"/>
                        </a:solidFill>
                        <a:ln w="9525">
                          <a:solidFill>
                            <a:srgbClr val="000000"/>
                          </a:solidFill>
                          <a:miter lim="800000"/>
                          <a:headEnd/>
                          <a:tailEnd/>
                        </a:ln>
                      </wps:spPr>
                      <wps:txbx>
                        <w:txbxContent>
                          <w:p w14:paraId="22F65C87" w14:textId="77777777" w:rsidR="005323F4" w:rsidRDefault="005323F4" w:rsidP="005323F4">
                            <w:r>
                              <w:rPr>
                                <w:rFonts w:ascii="Arial" w:hAnsi="Arial" w:cs="Arial"/>
                                <w:sz w:val="24"/>
                                <w:szCs w:val="24"/>
                              </w:rPr>
                              <w:t xml:space="preserve">Figure 1. </w:t>
                            </w:r>
                            <w:r>
                              <w:rPr>
                                <w:rFonts w:ascii="Arial" w:hAnsi="Arial" w:cs="Arial"/>
                                <w:sz w:val="24"/>
                                <w:szCs w:val="24"/>
                              </w:rPr>
                              <w:tab/>
                              <w:t>pMDI Shaker/Actuator with m</w:t>
                            </w:r>
                            <w:r w:rsidRPr="00C0033B">
                              <w:rPr>
                                <w:rFonts w:ascii="Arial" w:eastAsia="Times New Roman" w:hAnsi="Arial" w:cs="Arial"/>
                                <w:color w:val="222222"/>
                                <w:sz w:val="24"/>
                                <w:szCs w:val="24"/>
                              </w:rPr>
                              <w:t xml:space="preserve">outhpiece </w:t>
                            </w:r>
                            <w:r>
                              <w:rPr>
                                <w:rFonts w:ascii="Arial" w:eastAsia="Times New Roman" w:hAnsi="Arial" w:cs="Arial"/>
                                <w:color w:val="222222"/>
                                <w:sz w:val="24"/>
                                <w:szCs w:val="24"/>
                              </w:rPr>
                              <w:t>ad</w:t>
                            </w:r>
                            <w:r w:rsidRPr="00C0033B">
                              <w:rPr>
                                <w:rFonts w:ascii="Arial" w:eastAsia="Times New Roman" w:hAnsi="Arial" w:cs="Arial"/>
                                <w:color w:val="222222"/>
                                <w:sz w:val="24"/>
                                <w:szCs w:val="24"/>
                              </w:rPr>
                              <w:t xml:space="preserve">apter mounted on the </w:t>
                            </w:r>
                            <w:r>
                              <w:rPr>
                                <w:rFonts w:ascii="Arial" w:eastAsia="Times New Roman" w:hAnsi="Arial" w:cs="Arial"/>
                                <w:color w:val="222222"/>
                                <w:sz w:val="24"/>
                                <w:szCs w:val="24"/>
                              </w:rPr>
                              <w:t>USP i</w:t>
                            </w:r>
                            <w:r w:rsidRPr="00C0033B">
                              <w:rPr>
                                <w:rFonts w:ascii="Arial" w:eastAsia="Times New Roman" w:hAnsi="Arial" w:cs="Arial"/>
                                <w:color w:val="222222"/>
                                <w:sz w:val="24"/>
                                <w:szCs w:val="24"/>
                              </w:rPr>
                              <w:t>nduction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F998F" id="Rectangle 2" o:spid="_x0000_s1026" style="position:absolute;margin-left:-151.55pt;margin-top:4.6pt;width:142.35pt;height:8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">
                <v:path arrowok="t"/>
                <v:textbox>
                  <w:txbxContent>
                    <w:p w14:paraId="22F65C87" w14:textId="77777777" w:rsidR="005323F4" w:rsidRDefault="005323F4" w:rsidP="005323F4">
                      <w:r>
                        <w:rPr>
                          <w:rFonts w:ascii="Arial" w:hAnsi="Arial" w:cs="Arial"/>
                          <w:sz w:val="24"/>
                          <w:szCs w:val="24"/>
                        </w:rPr>
                        <w:t xml:space="preserve">Figure 1. </w:t>
                      </w:r>
                      <w:r>
                        <w:rPr>
                          <w:rFonts w:ascii="Arial" w:hAnsi="Arial" w:cs="Arial"/>
                          <w:sz w:val="24"/>
                          <w:szCs w:val="24"/>
                        </w:rPr>
                        <w:tab/>
                      </w:r>
                      <w:proofErr w:type="spellStart"/>
                      <w:r>
                        <w:rPr>
                          <w:rFonts w:ascii="Arial" w:hAnsi="Arial" w:cs="Arial"/>
                          <w:sz w:val="24"/>
                          <w:szCs w:val="24"/>
                        </w:rPr>
                        <w:t>pMDI</w:t>
                      </w:r>
                      <w:proofErr w:type="spellEnd"/>
                      <w:r>
                        <w:rPr>
                          <w:rFonts w:ascii="Arial" w:hAnsi="Arial" w:cs="Arial"/>
                          <w:sz w:val="24"/>
                          <w:szCs w:val="24"/>
                        </w:rPr>
                        <w:t xml:space="preserve"> Shaker/Actuator with m</w:t>
                      </w:r>
                      <w:r w:rsidRPr="00C0033B">
                        <w:rPr>
                          <w:rFonts w:ascii="Arial" w:eastAsia="Times New Roman" w:hAnsi="Arial" w:cs="Arial"/>
                          <w:color w:val="222222"/>
                          <w:sz w:val="24"/>
                          <w:szCs w:val="24"/>
                        </w:rPr>
                        <w:t xml:space="preserve">outhpiece </w:t>
                      </w:r>
                      <w:r>
                        <w:rPr>
                          <w:rFonts w:ascii="Arial" w:eastAsia="Times New Roman" w:hAnsi="Arial" w:cs="Arial"/>
                          <w:color w:val="222222"/>
                          <w:sz w:val="24"/>
                          <w:szCs w:val="24"/>
                        </w:rPr>
                        <w:t>ad</w:t>
                      </w:r>
                      <w:r w:rsidRPr="00C0033B">
                        <w:rPr>
                          <w:rFonts w:ascii="Arial" w:eastAsia="Times New Roman" w:hAnsi="Arial" w:cs="Arial"/>
                          <w:color w:val="222222"/>
                          <w:sz w:val="24"/>
                          <w:szCs w:val="24"/>
                        </w:rPr>
                        <w:t xml:space="preserve">apter mounted on the </w:t>
                      </w:r>
                      <w:r>
                        <w:rPr>
                          <w:rFonts w:ascii="Arial" w:eastAsia="Times New Roman" w:hAnsi="Arial" w:cs="Arial"/>
                          <w:color w:val="222222"/>
                          <w:sz w:val="24"/>
                          <w:szCs w:val="24"/>
                        </w:rPr>
                        <w:t xml:space="preserve">USP </w:t>
                      </w:r>
                      <w:proofErr w:type="gramStart"/>
                      <w:r>
                        <w:rPr>
                          <w:rFonts w:ascii="Arial" w:eastAsia="Times New Roman" w:hAnsi="Arial" w:cs="Arial"/>
                          <w:color w:val="222222"/>
                          <w:sz w:val="24"/>
                          <w:szCs w:val="24"/>
                        </w:rPr>
                        <w:t>i</w:t>
                      </w:r>
                      <w:r w:rsidRPr="00C0033B">
                        <w:rPr>
                          <w:rFonts w:ascii="Arial" w:eastAsia="Times New Roman" w:hAnsi="Arial" w:cs="Arial"/>
                          <w:color w:val="222222"/>
                          <w:sz w:val="24"/>
                          <w:szCs w:val="24"/>
                        </w:rPr>
                        <w:t>nduction</w:t>
                      </w:r>
                      <w:proofErr w:type="gramEnd"/>
                    </w:p>
                  </w:txbxContent>
                </v:textbox>
                <w10:wrap type="square"/>
              </v:rect>
            </w:pict>
          </mc:Fallback>
        </mc:AlternateContent>
      </w:r>
      <w:r w:rsidRPr="009E1CED">
        <w:rPr>
          <w:rFonts w:ascii="Arial" w:eastAsia="Times New Roman" w:hAnsi="Arial" w:cs="Arial"/>
          <w:b/>
          <w:color w:val="222222"/>
          <w:sz w:val="20"/>
          <w:szCs w:val="20"/>
        </w:rPr>
        <w:t xml:space="preserve">Aerodynamic Particle Sizing and Sample Preparation: </w:t>
      </w:r>
      <w:r w:rsidRPr="009E1CED">
        <w:rPr>
          <w:rStyle w:val="Emphasis"/>
          <w:rFonts w:ascii="Arial" w:hAnsi="Arial" w:cs="Arial"/>
          <w:bCs/>
          <w:sz w:val="20"/>
          <w:szCs w:val="20"/>
          <w:shd w:val="clear" w:color="auto" w:fill="FFFFFF"/>
        </w:rPr>
        <w:t>Using an Actuation Pressure of 4 kg/cm</w:t>
      </w:r>
      <w:r w:rsidRPr="009E1CED">
        <w:rPr>
          <w:rStyle w:val="Emphasis"/>
          <w:rFonts w:ascii="Arial" w:hAnsi="Arial" w:cs="Arial"/>
          <w:bCs/>
          <w:sz w:val="20"/>
          <w:szCs w:val="20"/>
          <w:shd w:val="clear" w:color="auto" w:fill="FFFFFF"/>
          <w:vertAlign w:val="superscript"/>
        </w:rPr>
        <w:t>2</w:t>
      </w:r>
      <w:r w:rsidRPr="009E1CED">
        <w:rPr>
          <w:rStyle w:val="Emphasis"/>
          <w:rFonts w:ascii="Arial" w:hAnsi="Arial" w:cs="Arial"/>
          <w:bCs/>
          <w:sz w:val="20"/>
          <w:szCs w:val="20"/>
          <w:shd w:val="clear" w:color="auto" w:fill="FFFFFF"/>
        </w:rPr>
        <w:t xml:space="preserve"> with 12 shakes, a single canister of Flovent</w:t>
      </w:r>
      <w:r w:rsidRPr="009E1CED">
        <w:rPr>
          <w:rFonts w:ascii="Arial" w:hAnsi="Arial" w:cs="Arial"/>
          <w:sz w:val="20"/>
          <w:szCs w:val="20"/>
          <w:shd w:val="clear" w:color="auto" w:fill="FFFFFF"/>
        </w:rPr>
        <w:t> HFA, </w:t>
      </w:r>
      <w:r w:rsidRPr="009E1CED">
        <w:rPr>
          <w:rStyle w:val="Emphasis"/>
          <w:rFonts w:ascii="Arial" w:hAnsi="Arial" w:cs="Arial"/>
          <w:bCs/>
          <w:sz w:val="20"/>
          <w:szCs w:val="20"/>
          <w:shd w:val="clear" w:color="auto" w:fill="FFFFFF"/>
        </w:rPr>
        <w:t>220</w:t>
      </w:r>
      <w:r w:rsidRPr="009E1CED">
        <w:rPr>
          <w:rFonts w:ascii="Arial" w:hAnsi="Arial" w:cs="Arial"/>
          <w:sz w:val="20"/>
          <w:szCs w:val="20"/>
          <w:shd w:val="clear" w:color="auto" w:fill="FFFFFF"/>
        </w:rPr>
        <w:t xml:space="preserve"> mcg, was discharged </w:t>
      </w:r>
      <w:r w:rsidRPr="009E1CED">
        <w:rPr>
          <w:rFonts w:ascii="Arial" w:hAnsi="Arial" w:cs="Arial"/>
          <w:sz w:val="20"/>
          <w:szCs w:val="20"/>
        </w:rPr>
        <w:t>4 times during each of 8 runs into the autonomously running A3G operated at 28.3 L/min. The mouth piece and all impaction plates were then automatically washed using 20 ml of sample recovery solution for each, while all stages and the inlet cone were washed using 30 ml of sample recovery solution for each.</w:t>
      </w:r>
    </w:p>
    <w:p w14:paraId="201239DB"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RESULTS AND DISCUSSION</w:t>
      </w:r>
    </w:p>
    <w:p w14:paraId="76423CBB" w14:textId="77777777" w:rsidR="005323F4" w:rsidRPr="009E1CED" w:rsidRDefault="005323F4" w:rsidP="005323F4">
      <w:pPr>
        <w:shd w:val="clear" w:color="auto" w:fill="FFFFFF"/>
        <w:spacing w:after="0" w:line="360" w:lineRule="auto"/>
        <w:jc w:val="both"/>
        <w:rPr>
          <w:rFonts w:ascii="Arial" w:eastAsia="Times New Roman" w:hAnsi="Arial" w:cs="Arial"/>
          <w:color w:val="222222"/>
          <w:sz w:val="20"/>
          <w:szCs w:val="20"/>
        </w:rPr>
      </w:pPr>
      <w:r w:rsidRPr="009E1CED">
        <w:rPr>
          <w:rFonts w:ascii="Arial" w:eastAsia="Times New Roman" w:hAnsi="Arial" w:cs="Arial"/>
          <w:bCs/>
          <w:color w:val="222222"/>
          <w:sz w:val="20"/>
          <w:szCs w:val="20"/>
        </w:rPr>
        <w:t xml:space="preserve">APSD results are shown in Table 1 as % of Label Claim recovered from each sample location. All shaking &amp; actuation, particle fractionation by size within the Collapsed Stage Column, sample recovery in the Isolator Column, and collection of HPLC samples was fully automated, and except for interruptions caused by power outages, runs proceeded consecutively taking approximately 25 minutes each. </w:t>
      </w:r>
      <w:r w:rsidRPr="009E1CED">
        <w:rPr>
          <w:rFonts w:ascii="Arial" w:eastAsia="Times New Roman" w:hAnsi="Arial" w:cs="Arial"/>
          <w:color w:val="222222"/>
          <w:sz w:val="20"/>
          <w:szCs w:val="20"/>
        </w:rPr>
        <w:t xml:space="preserve">The mean mass balance of </w:t>
      </w:r>
      <w:r w:rsidRPr="009E1CED">
        <w:rPr>
          <w:rFonts w:ascii="Arial" w:hAnsi="Arial" w:cs="Arial"/>
          <w:bCs/>
          <w:sz w:val="20"/>
          <w:szCs w:val="20"/>
        </w:rPr>
        <w:t xml:space="preserve">fluticasone propionate </w:t>
      </w:r>
      <w:r w:rsidRPr="009E1CED">
        <w:rPr>
          <w:rFonts w:ascii="Arial" w:eastAsia="Times New Roman" w:hAnsi="Arial" w:cs="Arial"/>
          <w:color w:val="222222"/>
          <w:sz w:val="20"/>
          <w:szCs w:val="20"/>
        </w:rPr>
        <w:t>was 100.5% of Label Claim of 220mcg with an RSD of 2.59%. On stages containing less the 0.3% Label Claim, RSD never exceeded 15%.</w:t>
      </w:r>
    </w:p>
    <w:p w14:paraId="6B62545F" w14:textId="77777777" w:rsidR="005323F4" w:rsidRPr="009E1CED" w:rsidRDefault="005323F4" w:rsidP="005323F4">
      <w:pPr>
        <w:shd w:val="clear" w:color="auto" w:fill="FFFFFF"/>
        <w:spacing w:after="0" w:line="360" w:lineRule="auto"/>
        <w:jc w:val="both"/>
        <w:rPr>
          <w:rFonts w:ascii="Arial" w:eastAsia="Times New Roman" w:hAnsi="Arial" w:cs="Arial"/>
          <w:color w:val="222222"/>
          <w:sz w:val="20"/>
          <w:szCs w:val="20"/>
        </w:rPr>
      </w:pPr>
    </w:p>
    <w:p w14:paraId="364BB76D" w14:textId="77777777" w:rsidR="005323F4" w:rsidRPr="009E1CED" w:rsidRDefault="005323F4" w:rsidP="005323F4">
      <w:pPr>
        <w:shd w:val="clear" w:color="auto" w:fill="FFFFFF"/>
        <w:spacing w:after="0" w:line="240" w:lineRule="auto"/>
        <w:ind w:left="180" w:right="-810" w:hanging="990"/>
        <w:jc w:val="both"/>
        <w:rPr>
          <w:rFonts w:ascii="Arial" w:eastAsia="Times New Roman" w:hAnsi="Arial" w:cs="Arial"/>
          <w:color w:val="222222"/>
          <w:sz w:val="20"/>
          <w:szCs w:val="20"/>
        </w:rPr>
      </w:pPr>
      <w:r w:rsidRPr="009E1CED">
        <w:rPr>
          <w:rFonts w:ascii="Arial" w:eastAsia="Times New Roman" w:hAnsi="Arial" w:cs="Arial"/>
          <w:color w:val="222222"/>
          <w:sz w:val="20"/>
          <w:szCs w:val="20"/>
        </w:rPr>
        <w:t xml:space="preserve">Table 1: </w:t>
      </w:r>
      <w:r w:rsidRPr="009E1CED">
        <w:rPr>
          <w:rFonts w:ascii="Arial" w:eastAsia="Times New Roman" w:hAnsi="Arial" w:cs="Arial"/>
          <w:color w:val="222222"/>
          <w:sz w:val="20"/>
          <w:szCs w:val="20"/>
        </w:rPr>
        <w:tab/>
        <w:t>Location-by-location fluticasone propionate recovery* following four sprays of Flovent HFA pMDI into the A3G Cascade Impactor using the automatic Shaker/Actuator (n=8).</w:t>
      </w:r>
    </w:p>
    <w:p w14:paraId="11C88E44" w14:textId="77777777" w:rsidR="005323F4" w:rsidRPr="009E1CED" w:rsidRDefault="005323F4" w:rsidP="005323F4">
      <w:pPr>
        <w:shd w:val="clear" w:color="auto" w:fill="FFFFFF"/>
        <w:spacing w:after="0" w:line="360" w:lineRule="auto"/>
        <w:rPr>
          <w:rFonts w:ascii="Arial" w:eastAsia="Times New Roman" w:hAnsi="Arial" w:cs="Arial"/>
          <w:bCs/>
          <w:color w:val="222222"/>
          <w:sz w:val="20"/>
          <w:szCs w:val="20"/>
        </w:rPr>
      </w:pPr>
    </w:p>
    <w:tbl>
      <w:tblPr>
        <w:tblStyle w:val="TableGridLight1"/>
        <w:tblW w:w="10890" w:type="dxa"/>
        <w:tblInd w:w="-702" w:type="dxa"/>
        <w:tblLook w:val="04A0" w:firstRow="1" w:lastRow="0" w:firstColumn="1" w:lastColumn="0" w:noHBand="0" w:noVBand="1"/>
      </w:tblPr>
      <w:tblGrid>
        <w:gridCol w:w="2440"/>
        <w:gridCol w:w="828"/>
        <w:gridCol w:w="810"/>
        <w:gridCol w:w="990"/>
        <w:gridCol w:w="990"/>
        <w:gridCol w:w="828"/>
        <w:gridCol w:w="900"/>
        <w:gridCol w:w="810"/>
        <w:gridCol w:w="900"/>
        <w:gridCol w:w="828"/>
        <w:gridCol w:w="817"/>
      </w:tblGrid>
      <w:tr w:rsidR="005323F4" w:rsidRPr="009E1CED" w14:paraId="2B7E3165" w14:textId="77777777" w:rsidTr="00A313DF">
        <w:trPr>
          <w:trHeight w:val="343"/>
        </w:trPr>
        <w:tc>
          <w:tcPr>
            <w:tcW w:w="2440" w:type="dxa"/>
            <w:vMerge w:val="restart"/>
            <w:noWrap/>
            <w:vAlign w:val="center"/>
            <w:hideMark/>
          </w:tcPr>
          <w:p w14:paraId="56068CF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Fluticasone Propionate</w:t>
            </w:r>
          </w:p>
          <w:p w14:paraId="545B87E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Recovery Location</w:t>
            </w:r>
          </w:p>
        </w:tc>
        <w:tc>
          <w:tcPr>
            <w:tcW w:w="8450" w:type="dxa"/>
            <w:gridSpan w:val="10"/>
            <w:noWrap/>
            <w:vAlign w:val="center"/>
            <w:hideMark/>
          </w:tcPr>
          <w:p w14:paraId="567A438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Fluticasone Propionate Recovery (% Label Claim) For Each (Run)</w:t>
            </w:r>
          </w:p>
        </w:tc>
      </w:tr>
      <w:tr w:rsidR="005323F4" w:rsidRPr="009E1CED" w14:paraId="026DABEB" w14:textId="77777777" w:rsidTr="00A313DF">
        <w:trPr>
          <w:trHeight w:hRule="exact" w:val="397"/>
        </w:trPr>
        <w:tc>
          <w:tcPr>
            <w:tcW w:w="2440" w:type="dxa"/>
            <w:vMerge/>
            <w:hideMark/>
          </w:tcPr>
          <w:p w14:paraId="2339B9DF" w14:textId="77777777" w:rsidR="005323F4" w:rsidRPr="009E1CED" w:rsidRDefault="005323F4" w:rsidP="00A313DF">
            <w:pPr>
              <w:jc w:val="center"/>
              <w:rPr>
                <w:rFonts w:ascii="Arial" w:eastAsia="Times New Roman" w:hAnsi="Arial" w:cs="Arial"/>
                <w:color w:val="000000"/>
                <w:sz w:val="20"/>
                <w:szCs w:val="20"/>
              </w:rPr>
            </w:pPr>
          </w:p>
        </w:tc>
        <w:tc>
          <w:tcPr>
            <w:tcW w:w="800" w:type="dxa"/>
          </w:tcPr>
          <w:p w14:paraId="789C731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w:t>
            </w:r>
          </w:p>
        </w:tc>
        <w:tc>
          <w:tcPr>
            <w:tcW w:w="810" w:type="dxa"/>
          </w:tcPr>
          <w:p w14:paraId="24F8BD8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w:t>
            </w:r>
          </w:p>
        </w:tc>
        <w:tc>
          <w:tcPr>
            <w:tcW w:w="990" w:type="dxa"/>
          </w:tcPr>
          <w:p w14:paraId="758AF0E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w:t>
            </w:r>
          </w:p>
        </w:tc>
        <w:tc>
          <w:tcPr>
            <w:tcW w:w="990" w:type="dxa"/>
          </w:tcPr>
          <w:p w14:paraId="6E47BA9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w:t>
            </w:r>
          </w:p>
        </w:tc>
        <w:tc>
          <w:tcPr>
            <w:tcW w:w="720" w:type="dxa"/>
          </w:tcPr>
          <w:p w14:paraId="50CEC89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w:t>
            </w:r>
          </w:p>
        </w:tc>
        <w:tc>
          <w:tcPr>
            <w:tcW w:w="900" w:type="dxa"/>
          </w:tcPr>
          <w:p w14:paraId="27F3161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(6)</w:t>
            </w:r>
          </w:p>
        </w:tc>
        <w:tc>
          <w:tcPr>
            <w:tcW w:w="810" w:type="dxa"/>
          </w:tcPr>
          <w:p w14:paraId="33A23449"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(7)</w:t>
            </w:r>
          </w:p>
        </w:tc>
        <w:tc>
          <w:tcPr>
            <w:tcW w:w="900" w:type="dxa"/>
          </w:tcPr>
          <w:p w14:paraId="70BCB18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(8)</w:t>
            </w:r>
          </w:p>
        </w:tc>
        <w:tc>
          <w:tcPr>
            <w:tcW w:w="720" w:type="dxa"/>
          </w:tcPr>
          <w:p w14:paraId="11F28BA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Mean</w:t>
            </w:r>
          </w:p>
        </w:tc>
        <w:tc>
          <w:tcPr>
            <w:tcW w:w="810" w:type="dxa"/>
            <w:noWrap/>
            <w:hideMark/>
          </w:tcPr>
          <w:p w14:paraId="20E4BE8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%RSD</w:t>
            </w:r>
          </w:p>
        </w:tc>
      </w:tr>
      <w:tr w:rsidR="005323F4" w:rsidRPr="009E1CED" w14:paraId="12944A80" w14:textId="77777777" w:rsidTr="00A313DF">
        <w:trPr>
          <w:trHeight w:hRule="exact" w:val="343"/>
        </w:trPr>
        <w:tc>
          <w:tcPr>
            <w:tcW w:w="2440" w:type="dxa"/>
            <w:noWrap/>
            <w:hideMark/>
          </w:tcPr>
          <w:p w14:paraId="4469014E"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Mouthpiece Adaptor</w:t>
            </w:r>
          </w:p>
        </w:tc>
        <w:tc>
          <w:tcPr>
            <w:tcW w:w="800" w:type="dxa"/>
            <w:noWrap/>
            <w:hideMark/>
          </w:tcPr>
          <w:p w14:paraId="0B63EA4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5.81</w:t>
            </w:r>
          </w:p>
        </w:tc>
        <w:tc>
          <w:tcPr>
            <w:tcW w:w="810" w:type="dxa"/>
            <w:noWrap/>
            <w:hideMark/>
          </w:tcPr>
          <w:p w14:paraId="131E6CB9"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5.68</w:t>
            </w:r>
          </w:p>
        </w:tc>
        <w:tc>
          <w:tcPr>
            <w:tcW w:w="990" w:type="dxa"/>
            <w:noWrap/>
            <w:hideMark/>
          </w:tcPr>
          <w:p w14:paraId="113DB606"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5.29</w:t>
            </w:r>
          </w:p>
        </w:tc>
        <w:tc>
          <w:tcPr>
            <w:tcW w:w="990" w:type="dxa"/>
            <w:noWrap/>
            <w:hideMark/>
          </w:tcPr>
          <w:p w14:paraId="077CBC3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5.69</w:t>
            </w:r>
          </w:p>
        </w:tc>
        <w:tc>
          <w:tcPr>
            <w:tcW w:w="720" w:type="dxa"/>
            <w:noWrap/>
            <w:hideMark/>
          </w:tcPr>
          <w:p w14:paraId="574DD1D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5.69</w:t>
            </w:r>
          </w:p>
        </w:tc>
        <w:tc>
          <w:tcPr>
            <w:tcW w:w="900" w:type="dxa"/>
            <w:noWrap/>
            <w:hideMark/>
          </w:tcPr>
          <w:p w14:paraId="5F77031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5.85</w:t>
            </w:r>
          </w:p>
        </w:tc>
        <w:tc>
          <w:tcPr>
            <w:tcW w:w="810" w:type="dxa"/>
            <w:noWrap/>
            <w:hideMark/>
          </w:tcPr>
          <w:p w14:paraId="73BF2E3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5.45</w:t>
            </w:r>
          </w:p>
        </w:tc>
        <w:tc>
          <w:tcPr>
            <w:tcW w:w="900" w:type="dxa"/>
            <w:noWrap/>
            <w:hideMark/>
          </w:tcPr>
          <w:p w14:paraId="085E285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5.64</w:t>
            </w:r>
          </w:p>
        </w:tc>
        <w:tc>
          <w:tcPr>
            <w:tcW w:w="720" w:type="dxa"/>
            <w:vAlign w:val="bottom"/>
          </w:tcPr>
          <w:p w14:paraId="1F3F4CD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5.64</w:t>
            </w:r>
          </w:p>
        </w:tc>
        <w:tc>
          <w:tcPr>
            <w:tcW w:w="810" w:type="dxa"/>
            <w:noWrap/>
            <w:hideMark/>
          </w:tcPr>
          <w:p w14:paraId="5A73411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3.27</w:t>
            </w:r>
          </w:p>
        </w:tc>
      </w:tr>
      <w:tr w:rsidR="005323F4" w:rsidRPr="009E1CED" w14:paraId="04E53106" w14:textId="77777777" w:rsidTr="00A313DF">
        <w:trPr>
          <w:trHeight w:hRule="exact" w:val="343"/>
        </w:trPr>
        <w:tc>
          <w:tcPr>
            <w:tcW w:w="2440" w:type="dxa"/>
            <w:noWrap/>
            <w:hideMark/>
          </w:tcPr>
          <w:p w14:paraId="5DFAC6BF"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Induction Port</w:t>
            </w:r>
          </w:p>
        </w:tc>
        <w:tc>
          <w:tcPr>
            <w:tcW w:w="800" w:type="dxa"/>
            <w:noWrap/>
            <w:hideMark/>
          </w:tcPr>
          <w:p w14:paraId="78A77AB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48.24</w:t>
            </w:r>
          </w:p>
        </w:tc>
        <w:tc>
          <w:tcPr>
            <w:tcW w:w="810" w:type="dxa"/>
            <w:noWrap/>
            <w:hideMark/>
          </w:tcPr>
          <w:p w14:paraId="4C1B4C1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45.32</w:t>
            </w:r>
          </w:p>
        </w:tc>
        <w:tc>
          <w:tcPr>
            <w:tcW w:w="990" w:type="dxa"/>
            <w:noWrap/>
            <w:hideMark/>
          </w:tcPr>
          <w:p w14:paraId="4E43F72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45.87</w:t>
            </w:r>
          </w:p>
        </w:tc>
        <w:tc>
          <w:tcPr>
            <w:tcW w:w="990" w:type="dxa"/>
            <w:noWrap/>
            <w:hideMark/>
          </w:tcPr>
          <w:p w14:paraId="206CC43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45.56</w:t>
            </w:r>
          </w:p>
        </w:tc>
        <w:tc>
          <w:tcPr>
            <w:tcW w:w="720" w:type="dxa"/>
            <w:noWrap/>
            <w:hideMark/>
          </w:tcPr>
          <w:p w14:paraId="07AF7AC6"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47.96</w:t>
            </w:r>
          </w:p>
        </w:tc>
        <w:tc>
          <w:tcPr>
            <w:tcW w:w="900" w:type="dxa"/>
            <w:noWrap/>
            <w:hideMark/>
          </w:tcPr>
          <w:p w14:paraId="7205B1C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44.13</w:t>
            </w:r>
          </w:p>
        </w:tc>
        <w:tc>
          <w:tcPr>
            <w:tcW w:w="810" w:type="dxa"/>
            <w:noWrap/>
            <w:hideMark/>
          </w:tcPr>
          <w:p w14:paraId="5F8213C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41.74</w:t>
            </w:r>
          </w:p>
        </w:tc>
        <w:tc>
          <w:tcPr>
            <w:tcW w:w="900" w:type="dxa"/>
            <w:noWrap/>
            <w:hideMark/>
          </w:tcPr>
          <w:p w14:paraId="1C3EB11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43.02</w:t>
            </w:r>
          </w:p>
        </w:tc>
        <w:tc>
          <w:tcPr>
            <w:tcW w:w="720" w:type="dxa"/>
            <w:vAlign w:val="bottom"/>
          </w:tcPr>
          <w:p w14:paraId="2C1B638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45.23</w:t>
            </w:r>
          </w:p>
        </w:tc>
        <w:tc>
          <w:tcPr>
            <w:tcW w:w="810" w:type="dxa"/>
            <w:noWrap/>
            <w:hideMark/>
          </w:tcPr>
          <w:p w14:paraId="31C59B5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4.97</w:t>
            </w:r>
          </w:p>
        </w:tc>
      </w:tr>
      <w:tr w:rsidR="005323F4" w:rsidRPr="009E1CED" w14:paraId="5F5FAE3E" w14:textId="77777777" w:rsidTr="00A313DF">
        <w:trPr>
          <w:trHeight w:hRule="exact" w:val="343"/>
        </w:trPr>
        <w:tc>
          <w:tcPr>
            <w:tcW w:w="2440" w:type="dxa"/>
            <w:noWrap/>
            <w:hideMark/>
          </w:tcPr>
          <w:p w14:paraId="6796738A"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lastRenderedPageBreak/>
              <w:t>Entrance Cone</w:t>
            </w:r>
          </w:p>
        </w:tc>
        <w:tc>
          <w:tcPr>
            <w:tcW w:w="800" w:type="dxa"/>
            <w:noWrap/>
            <w:hideMark/>
          </w:tcPr>
          <w:p w14:paraId="11DB7676"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0.12</w:t>
            </w:r>
          </w:p>
        </w:tc>
        <w:tc>
          <w:tcPr>
            <w:tcW w:w="810" w:type="dxa"/>
            <w:noWrap/>
            <w:hideMark/>
          </w:tcPr>
          <w:p w14:paraId="2B5C53F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0.13</w:t>
            </w:r>
          </w:p>
        </w:tc>
        <w:tc>
          <w:tcPr>
            <w:tcW w:w="990" w:type="dxa"/>
            <w:noWrap/>
            <w:hideMark/>
          </w:tcPr>
          <w:p w14:paraId="100E5FC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0.13</w:t>
            </w:r>
          </w:p>
        </w:tc>
        <w:tc>
          <w:tcPr>
            <w:tcW w:w="990" w:type="dxa"/>
            <w:noWrap/>
            <w:hideMark/>
          </w:tcPr>
          <w:p w14:paraId="127C695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0.12</w:t>
            </w:r>
          </w:p>
        </w:tc>
        <w:tc>
          <w:tcPr>
            <w:tcW w:w="720" w:type="dxa"/>
            <w:noWrap/>
            <w:hideMark/>
          </w:tcPr>
          <w:p w14:paraId="49E1527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0.14</w:t>
            </w:r>
          </w:p>
        </w:tc>
        <w:tc>
          <w:tcPr>
            <w:tcW w:w="900" w:type="dxa"/>
            <w:noWrap/>
            <w:hideMark/>
          </w:tcPr>
          <w:p w14:paraId="6424A93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0.10</w:t>
            </w:r>
          </w:p>
        </w:tc>
        <w:tc>
          <w:tcPr>
            <w:tcW w:w="810" w:type="dxa"/>
            <w:noWrap/>
            <w:hideMark/>
          </w:tcPr>
          <w:p w14:paraId="6D7C9FF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0.10</w:t>
            </w:r>
          </w:p>
        </w:tc>
        <w:tc>
          <w:tcPr>
            <w:tcW w:w="900" w:type="dxa"/>
            <w:noWrap/>
            <w:hideMark/>
          </w:tcPr>
          <w:p w14:paraId="6111794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0.12</w:t>
            </w:r>
          </w:p>
        </w:tc>
        <w:tc>
          <w:tcPr>
            <w:tcW w:w="720" w:type="dxa"/>
            <w:vAlign w:val="bottom"/>
          </w:tcPr>
          <w:p w14:paraId="7667968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0.12</w:t>
            </w:r>
          </w:p>
        </w:tc>
        <w:tc>
          <w:tcPr>
            <w:tcW w:w="810" w:type="dxa"/>
            <w:noWrap/>
            <w:hideMark/>
          </w:tcPr>
          <w:p w14:paraId="7F078AA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11.79</w:t>
            </w:r>
          </w:p>
        </w:tc>
      </w:tr>
      <w:tr w:rsidR="005323F4" w:rsidRPr="009E1CED" w14:paraId="5C4C5C82" w14:textId="77777777" w:rsidTr="00A313DF">
        <w:trPr>
          <w:trHeight w:hRule="exact" w:val="343"/>
        </w:trPr>
        <w:tc>
          <w:tcPr>
            <w:tcW w:w="2440" w:type="dxa"/>
            <w:noWrap/>
            <w:hideMark/>
          </w:tcPr>
          <w:p w14:paraId="74AC5E8E"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Stage-0 + Impaction Plate-1</w:t>
            </w:r>
            <w:r w:rsidRPr="009E1CED">
              <w:rPr>
                <w:rFonts w:ascii="Arial" w:eastAsia="Times New Roman" w:hAnsi="Arial" w:cs="Arial"/>
                <w:color w:val="000000"/>
                <w:sz w:val="20"/>
                <w:szCs w:val="20"/>
                <w:vertAlign w:val="superscript"/>
              </w:rPr>
              <w:t>#</w:t>
            </w:r>
          </w:p>
        </w:tc>
        <w:tc>
          <w:tcPr>
            <w:tcW w:w="800" w:type="dxa"/>
            <w:noWrap/>
            <w:hideMark/>
          </w:tcPr>
          <w:p w14:paraId="13B46C3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3.03</w:t>
            </w:r>
          </w:p>
        </w:tc>
        <w:tc>
          <w:tcPr>
            <w:tcW w:w="810" w:type="dxa"/>
            <w:noWrap/>
            <w:hideMark/>
          </w:tcPr>
          <w:p w14:paraId="0BA852E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2.83</w:t>
            </w:r>
          </w:p>
        </w:tc>
        <w:tc>
          <w:tcPr>
            <w:tcW w:w="990" w:type="dxa"/>
            <w:noWrap/>
            <w:hideMark/>
          </w:tcPr>
          <w:p w14:paraId="5381F28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2.88</w:t>
            </w:r>
          </w:p>
        </w:tc>
        <w:tc>
          <w:tcPr>
            <w:tcW w:w="990" w:type="dxa"/>
            <w:noWrap/>
            <w:hideMark/>
          </w:tcPr>
          <w:p w14:paraId="3B41701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2.76</w:t>
            </w:r>
          </w:p>
        </w:tc>
        <w:tc>
          <w:tcPr>
            <w:tcW w:w="720" w:type="dxa"/>
            <w:noWrap/>
            <w:hideMark/>
          </w:tcPr>
          <w:p w14:paraId="58752C4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2.90</w:t>
            </w:r>
          </w:p>
        </w:tc>
        <w:tc>
          <w:tcPr>
            <w:tcW w:w="900" w:type="dxa"/>
            <w:noWrap/>
            <w:hideMark/>
          </w:tcPr>
          <w:p w14:paraId="223022B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3.06</w:t>
            </w:r>
          </w:p>
        </w:tc>
        <w:tc>
          <w:tcPr>
            <w:tcW w:w="810" w:type="dxa"/>
            <w:noWrap/>
            <w:hideMark/>
          </w:tcPr>
          <w:p w14:paraId="2BB0A38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2.69</w:t>
            </w:r>
          </w:p>
        </w:tc>
        <w:tc>
          <w:tcPr>
            <w:tcW w:w="900" w:type="dxa"/>
            <w:noWrap/>
            <w:hideMark/>
          </w:tcPr>
          <w:p w14:paraId="327ED5E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3.45</w:t>
            </w:r>
          </w:p>
        </w:tc>
        <w:tc>
          <w:tcPr>
            <w:tcW w:w="720" w:type="dxa"/>
            <w:vAlign w:val="bottom"/>
          </w:tcPr>
          <w:p w14:paraId="46E0C08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2.95</w:t>
            </w:r>
          </w:p>
        </w:tc>
        <w:tc>
          <w:tcPr>
            <w:tcW w:w="810" w:type="dxa"/>
            <w:noWrap/>
            <w:hideMark/>
          </w:tcPr>
          <w:p w14:paraId="3747E5E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8.04</w:t>
            </w:r>
          </w:p>
        </w:tc>
      </w:tr>
      <w:tr w:rsidR="005323F4" w:rsidRPr="009E1CED" w14:paraId="5880BC02" w14:textId="77777777" w:rsidTr="00A313DF">
        <w:trPr>
          <w:trHeight w:hRule="exact" w:val="343"/>
        </w:trPr>
        <w:tc>
          <w:tcPr>
            <w:tcW w:w="2440" w:type="dxa"/>
            <w:noWrap/>
            <w:hideMark/>
          </w:tcPr>
          <w:p w14:paraId="7885D5E4"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Stage-1 + Impaction Plate-2</w:t>
            </w:r>
          </w:p>
        </w:tc>
        <w:tc>
          <w:tcPr>
            <w:tcW w:w="800" w:type="dxa"/>
            <w:noWrap/>
            <w:hideMark/>
          </w:tcPr>
          <w:p w14:paraId="416B96E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3.20</w:t>
            </w:r>
          </w:p>
        </w:tc>
        <w:tc>
          <w:tcPr>
            <w:tcW w:w="810" w:type="dxa"/>
            <w:noWrap/>
            <w:hideMark/>
          </w:tcPr>
          <w:p w14:paraId="5788ADD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3.30</w:t>
            </w:r>
          </w:p>
        </w:tc>
        <w:tc>
          <w:tcPr>
            <w:tcW w:w="990" w:type="dxa"/>
            <w:noWrap/>
            <w:hideMark/>
          </w:tcPr>
          <w:p w14:paraId="3181614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3.39</w:t>
            </w:r>
          </w:p>
        </w:tc>
        <w:tc>
          <w:tcPr>
            <w:tcW w:w="990" w:type="dxa"/>
            <w:noWrap/>
            <w:hideMark/>
          </w:tcPr>
          <w:p w14:paraId="4B7EA52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3.44</w:t>
            </w:r>
          </w:p>
        </w:tc>
        <w:tc>
          <w:tcPr>
            <w:tcW w:w="720" w:type="dxa"/>
            <w:noWrap/>
            <w:hideMark/>
          </w:tcPr>
          <w:p w14:paraId="5492D5B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3.70</w:t>
            </w:r>
          </w:p>
        </w:tc>
        <w:tc>
          <w:tcPr>
            <w:tcW w:w="900" w:type="dxa"/>
            <w:noWrap/>
            <w:hideMark/>
          </w:tcPr>
          <w:p w14:paraId="201E5DD9"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3.45</w:t>
            </w:r>
          </w:p>
        </w:tc>
        <w:tc>
          <w:tcPr>
            <w:tcW w:w="810" w:type="dxa"/>
            <w:noWrap/>
            <w:hideMark/>
          </w:tcPr>
          <w:p w14:paraId="48030B6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3.52</w:t>
            </w:r>
          </w:p>
        </w:tc>
        <w:tc>
          <w:tcPr>
            <w:tcW w:w="900" w:type="dxa"/>
            <w:noWrap/>
            <w:hideMark/>
          </w:tcPr>
          <w:p w14:paraId="37DA13E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3.75</w:t>
            </w:r>
          </w:p>
        </w:tc>
        <w:tc>
          <w:tcPr>
            <w:tcW w:w="720" w:type="dxa"/>
            <w:vAlign w:val="bottom"/>
          </w:tcPr>
          <w:p w14:paraId="443ABE2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3.47</w:t>
            </w:r>
          </w:p>
        </w:tc>
        <w:tc>
          <w:tcPr>
            <w:tcW w:w="810" w:type="dxa"/>
            <w:noWrap/>
            <w:hideMark/>
          </w:tcPr>
          <w:p w14:paraId="1C9D458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5.37</w:t>
            </w:r>
          </w:p>
        </w:tc>
      </w:tr>
      <w:tr w:rsidR="005323F4" w:rsidRPr="009E1CED" w14:paraId="17918C53" w14:textId="77777777" w:rsidTr="00A313DF">
        <w:trPr>
          <w:trHeight w:hRule="exact" w:val="343"/>
        </w:trPr>
        <w:tc>
          <w:tcPr>
            <w:tcW w:w="2440" w:type="dxa"/>
            <w:noWrap/>
            <w:hideMark/>
          </w:tcPr>
          <w:p w14:paraId="5DB97782"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Stage-2 + Impaction Plate-3</w:t>
            </w:r>
          </w:p>
        </w:tc>
        <w:tc>
          <w:tcPr>
            <w:tcW w:w="800" w:type="dxa"/>
            <w:noWrap/>
            <w:hideMark/>
          </w:tcPr>
          <w:p w14:paraId="2F2AADD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5.05</w:t>
            </w:r>
          </w:p>
        </w:tc>
        <w:tc>
          <w:tcPr>
            <w:tcW w:w="810" w:type="dxa"/>
            <w:noWrap/>
            <w:hideMark/>
          </w:tcPr>
          <w:p w14:paraId="135ADA8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5.11</w:t>
            </w:r>
          </w:p>
        </w:tc>
        <w:tc>
          <w:tcPr>
            <w:tcW w:w="990" w:type="dxa"/>
            <w:noWrap/>
            <w:hideMark/>
          </w:tcPr>
          <w:p w14:paraId="1F7D6DD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5.31</w:t>
            </w:r>
          </w:p>
        </w:tc>
        <w:tc>
          <w:tcPr>
            <w:tcW w:w="990" w:type="dxa"/>
            <w:noWrap/>
            <w:hideMark/>
          </w:tcPr>
          <w:p w14:paraId="29EAB46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5.55</w:t>
            </w:r>
          </w:p>
        </w:tc>
        <w:tc>
          <w:tcPr>
            <w:tcW w:w="720" w:type="dxa"/>
            <w:noWrap/>
            <w:hideMark/>
          </w:tcPr>
          <w:p w14:paraId="2C18C11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5.92</w:t>
            </w:r>
          </w:p>
        </w:tc>
        <w:tc>
          <w:tcPr>
            <w:tcW w:w="900" w:type="dxa"/>
            <w:noWrap/>
            <w:hideMark/>
          </w:tcPr>
          <w:p w14:paraId="4CB39299"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5.63</w:t>
            </w:r>
          </w:p>
        </w:tc>
        <w:tc>
          <w:tcPr>
            <w:tcW w:w="810" w:type="dxa"/>
            <w:noWrap/>
            <w:hideMark/>
          </w:tcPr>
          <w:p w14:paraId="200BE73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5.62</w:t>
            </w:r>
          </w:p>
        </w:tc>
        <w:tc>
          <w:tcPr>
            <w:tcW w:w="900" w:type="dxa"/>
            <w:noWrap/>
            <w:hideMark/>
          </w:tcPr>
          <w:p w14:paraId="03B2684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5.82</w:t>
            </w:r>
          </w:p>
        </w:tc>
        <w:tc>
          <w:tcPr>
            <w:tcW w:w="720" w:type="dxa"/>
            <w:vAlign w:val="bottom"/>
          </w:tcPr>
          <w:p w14:paraId="6E5714D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5.50</w:t>
            </w:r>
          </w:p>
        </w:tc>
        <w:tc>
          <w:tcPr>
            <w:tcW w:w="810" w:type="dxa"/>
            <w:noWrap/>
            <w:hideMark/>
          </w:tcPr>
          <w:p w14:paraId="1DC7DDB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5.76</w:t>
            </w:r>
          </w:p>
        </w:tc>
      </w:tr>
      <w:tr w:rsidR="005323F4" w:rsidRPr="009E1CED" w14:paraId="5A1E2BD7" w14:textId="77777777" w:rsidTr="00A313DF">
        <w:trPr>
          <w:trHeight w:hRule="exact" w:val="343"/>
        </w:trPr>
        <w:tc>
          <w:tcPr>
            <w:tcW w:w="2440" w:type="dxa"/>
            <w:noWrap/>
            <w:hideMark/>
          </w:tcPr>
          <w:p w14:paraId="45C113A2"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Stage-3 + Impaction Plate-4</w:t>
            </w:r>
          </w:p>
        </w:tc>
        <w:tc>
          <w:tcPr>
            <w:tcW w:w="800" w:type="dxa"/>
            <w:noWrap/>
            <w:hideMark/>
          </w:tcPr>
          <w:p w14:paraId="1B1B12A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14.30</w:t>
            </w:r>
          </w:p>
        </w:tc>
        <w:tc>
          <w:tcPr>
            <w:tcW w:w="810" w:type="dxa"/>
            <w:noWrap/>
            <w:hideMark/>
          </w:tcPr>
          <w:p w14:paraId="78A6901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14.84</w:t>
            </w:r>
          </w:p>
        </w:tc>
        <w:tc>
          <w:tcPr>
            <w:tcW w:w="990" w:type="dxa"/>
            <w:noWrap/>
            <w:hideMark/>
          </w:tcPr>
          <w:p w14:paraId="28F2A7E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15.32</w:t>
            </w:r>
          </w:p>
        </w:tc>
        <w:tc>
          <w:tcPr>
            <w:tcW w:w="990" w:type="dxa"/>
            <w:noWrap/>
            <w:hideMark/>
          </w:tcPr>
          <w:p w14:paraId="001F67B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16.25</w:t>
            </w:r>
          </w:p>
        </w:tc>
        <w:tc>
          <w:tcPr>
            <w:tcW w:w="720" w:type="dxa"/>
            <w:noWrap/>
            <w:hideMark/>
          </w:tcPr>
          <w:p w14:paraId="4FDB80F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16.22</w:t>
            </w:r>
          </w:p>
        </w:tc>
        <w:tc>
          <w:tcPr>
            <w:tcW w:w="900" w:type="dxa"/>
            <w:noWrap/>
            <w:hideMark/>
          </w:tcPr>
          <w:p w14:paraId="32EEA21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15.27</w:t>
            </w:r>
          </w:p>
        </w:tc>
        <w:tc>
          <w:tcPr>
            <w:tcW w:w="810" w:type="dxa"/>
            <w:noWrap/>
            <w:hideMark/>
          </w:tcPr>
          <w:p w14:paraId="07CD8DA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15.41</w:t>
            </w:r>
          </w:p>
        </w:tc>
        <w:tc>
          <w:tcPr>
            <w:tcW w:w="900" w:type="dxa"/>
            <w:noWrap/>
            <w:hideMark/>
          </w:tcPr>
          <w:p w14:paraId="73C0CB3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15.92</w:t>
            </w:r>
          </w:p>
        </w:tc>
        <w:tc>
          <w:tcPr>
            <w:tcW w:w="720" w:type="dxa"/>
            <w:vAlign w:val="bottom"/>
          </w:tcPr>
          <w:p w14:paraId="4641AF23"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15.44</w:t>
            </w:r>
          </w:p>
        </w:tc>
        <w:tc>
          <w:tcPr>
            <w:tcW w:w="810" w:type="dxa"/>
            <w:noWrap/>
            <w:hideMark/>
          </w:tcPr>
          <w:p w14:paraId="60E8B2B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4.38</w:t>
            </w:r>
          </w:p>
        </w:tc>
      </w:tr>
      <w:tr w:rsidR="005323F4" w:rsidRPr="009E1CED" w14:paraId="7275A42D" w14:textId="77777777" w:rsidTr="00A313DF">
        <w:trPr>
          <w:trHeight w:hRule="exact" w:val="343"/>
        </w:trPr>
        <w:tc>
          <w:tcPr>
            <w:tcW w:w="2440" w:type="dxa"/>
            <w:noWrap/>
            <w:hideMark/>
          </w:tcPr>
          <w:p w14:paraId="5284CADE"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Stage-4 + Impaction Plate-6</w:t>
            </w:r>
          </w:p>
        </w:tc>
        <w:tc>
          <w:tcPr>
            <w:tcW w:w="800" w:type="dxa"/>
            <w:noWrap/>
            <w:hideMark/>
          </w:tcPr>
          <w:p w14:paraId="4B6798D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15.05</w:t>
            </w:r>
          </w:p>
        </w:tc>
        <w:tc>
          <w:tcPr>
            <w:tcW w:w="810" w:type="dxa"/>
            <w:noWrap/>
            <w:hideMark/>
          </w:tcPr>
          <w:p w14:paraId="605F430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14.95</w:t>
            </w:r>
          </w:p>
        </w:tc>
        <w:tc>
          <w:tcPr>
            <w:tcW w:w="990" w:type="dxa"/>
            <w:noWrap/>
            <w:hideMark/>
          </w:tcPr>
          <w:p w14:paraId="419C267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15.50</w:t>
            </w:r>
          </w:p>
        </w:tc>
        <w:tc>
          <w:tcPr>
            <w:tcW w:w="990" w:type="dxa"/>
            <w:noWrap/>
            <w:hideMark/>
          </w:tcPr>
          <w:p w14:paraId="1E7D37F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16.32</w:t>
            </w:r>
          </w:p>
        </w:tc>
        <w:tc>
          <w:tcPr>
            <w:tcW w:w="720" w:type="dxa"/>
            <w:noWrap/>
            <w:hideMark/>
          </w:tcPr>
          <w:p w14:paraId="44D7EAA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15.86</w:t>
            </w:r>
          </w:p>
        </w:tc>
        <w:tc>
          <w:tcPr>
            <w:tcW w:w="900" w:type="dxa"/>
            <w:noWrap/>
            <w:hideMark/>
          </w:tcPr>
          <w:p w14:paraId="2A52A55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15.39</w:t>
            </w:r>
          </w:p>
        </w:tc>
        <w:tc>
          <w:tcPr>
            <w:tcW w:w="810" w:type="dxa"/>
            <w:noWrap/>
            <w:hideMark/>
          </w:tcPr>
          <w:p w14:paraId="3F9D16A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15.49</w:t>
            </w:r>
          </w:p>
        </w:tc>
        <w:tc>
          <w:tcPr>
            <w:tcW w:w="900" w:type="dxa"/>
            <w:noWrap/>
            <w:hideMark/>
          </w:tcPr>
          <w:p w14:paraId="087AD2A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15.78</w:t>
            </w:r>
          </w:p>
        </w:tc>
        <w:tc>
          <w:tcPr>
            <w:tcW w:w="720" w:type="dxa"/>
            <w:vAlign w:val="bottom"/>
          </w:tcPr>
          <w:p w14:paraId="6AF0C75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15.54</w:t>
            </w:r>
          </w:p>
        </w:tc>
        <w:tc>
          <w:tcPr>
            <w:tcW w:w="810" w:type="dxa"/>
            <w:noWrap/>
            <w:hideMark/>
          </w:tcPr>
          <w:p w14:paraId="321BE03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2.86</w:t>
            </w:r>
          </w:p>
        </w:tc>
      </w:tr>
      <w:tr w:rsidR="005323F4" w:rsidRPr="009E1CED" w14:paraId="51EE9E64" w14:textId="77777777" w:rsidTr="00A313DF">
        <w:trPr>
          <w:trHeight w:hRule="exact" w:val="343"/>
        </w:trPr>
        <w:tc>
          <w:tcPr>
            <w:tcW w:w="2440" w:type="dxa"/>
            <w:noWrap/>
            <w:hideMark/>
          </w:tcPr>
          <w:p w14:paraId="26283867"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Stage-5 + Impaction Plate-6</w:t>
            </w:r>
          </w:p>
        </w:tc>
        <w:tc>
          <w:tcPr>
            <w:tcW w:w="800" w:type="dxa"/>
            <w:noWrap/>
            <w:hideMark/>
          </w:tcPr>
          <w:p w14:paraId="70088A2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5.53</w:t>
            </w:r>
          </w:p>
        </w:tc>
        <w:tc>
          <w:tcPr>
            <w:tcW w:w="810" w:type="dxa"/>
            <w:noWrap/>
            <w:hideMark/>
          </w:tcPr>
          <w:p w14:paraId="12A9DA7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5.29</w:t>
            </w:r>
          </w:p>
        </w:tc>
        <w:tc>
          <w:tcPr>
            <w:tcW w:w="990" w:type="dxa"/>
            <w:noWrap/>
            <w:hideMark/>
          </w:tcPr>
          <w:p w14:paraId="192F7D86"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5.40</w:t>
            </w:r>
          </w:p>
        </w:tc>
        <w:tc>
          <w:tcPr>
            <w:tcW w:w="990" w:type="dxa"/>
            <w:noWrap/>
            <w:hideMark/>
          </w:tcPr>
          <w:p w14:paraId="4DEF332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5.75</w:t>
            </w:r>
          </w:p>
        </w:tc>
        <w:tc>
          <w:tcPr>
            <w:tcW w:w="720" w:type="dxa"/>
            <w:noWrap/>
            <w:hideMark/>
          </w:tcPr>
          <w:p w14:paraId="6C8B39B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5.71</w:t>
            </w:r>
          </w:p>
        </w:tc>
        <w:tc>
          <w:tcPr>
            <w:tcW w:w="900" w:type="dxa"/>
            <w:noWrap/>
            <w:hideMark/>
          </w:tcPr>
          <w:p w14:paraId="3431D85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5.50</w:t>
            </w:r>
          </w:p>
        </w:tc>
        <w:tc>
          <w:tcPr>
            <w:tcW w:w="810" w:type="dxa"/>
            <w:noWrap/>
            <w:hideMark/>
          </w:tcPr>
          <w:p w14:paraId="7744E6D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5.57</w:t>
            </w:r>
          </w:p>
        </w:tc>
        <w:tc>
          <w:tcPr>
            <w:tcW w:w="900" w:type="dxa"/>
            <w:noWrap/>
            <w:hideMark/>
          </w:tcPr>
          <w:p w14:paraId="29593F5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5.50</w:t>
            </w:r>
          </w:p>
        </w:tc>
        <w:tc>
          <w:tcPr>
            <w:tcW w:w="720" w:type="dxa"/>
            <w:vAlign w:val="bottom"/>
          </w:tcPr>
          <w:p w14:paraId="5FDEE5A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5.53</w:t>
            </w:r>
          </w:p>
        </w:tc>
        <w:tc>
          <w:tcPr>
            <w:tcW w:w="810" w:type="dxa"/>
            <w:noWrap/>
            <w:hideMark/>
          </w:tcPr>
          <w:p w14:paraId="051D591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2.72</w:t>
            </w:r>
          </w:p>
        </w:tc>
      </w:tr>
      <w:tr w:rsidR="005323F4" w:rsidRPr="009E1CED" w14:paraId="7489B0A8" w14:textId="77777777" w:rsidTr="00A313DF">
        <w:trPr>
          <w:trHeight w:hRule="exact" w:val="343"/>
        </w:trPr>
        <w:tc>
          <w:tcPr>
            <w:tcW w:w="2440" w:type="dxa"/>
            <w:noWrap/>
            <w:hideMark/>
          </w:tcPr>
          <w:p w14:paraId="4A3F4B87"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Stage-6+ Impaction Plate-7</w:t>
            </w:r>
          </w:p>
        </w:tc>
        <w:tc>
          <w:tcPr>
            <w:tcW w:w="800" w:type="dxa"/>
            <w:noWrap/>
            <w:hideMark/>
          </w:tcPr>
          <w:p w14:paraId="794154C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0.70</w:t>
            </w:r>
          </w:p>
        </w:tc>
        <w:tc>
          <w:tcPr>
            <w:tcW w:w="810" w:type="dxa"/>
            <w:noWrap/>
            <w:hideMark/>
          </w:tcPr>
          <w:p w14:paraId="5A5E553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0.67</w:t>
            </w:r>
          </w:p>
        </w:tc>
        <w:tc>
          <w:tcPr>
            <w:tcW w:w="990" w:type="dxa"/>
            <w:noWrap/>
            <w:hideMark/>
          </w:tcPr>
          <w:p w14:paraId="6FF83A2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0.68</w:t>
            </w:r>
          </w:p>
        </w:tc>
        <w:tc>
          <w:tcPr>
            <w:tcW w:w="990" w:type="dxa"/>
            <w:noWrap/>
            <w:hideMark/>
          </w:tcPr>
          <w:p w14:paraId="20DBF13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0.72</w:t>
            </w:r>
          </w:p>
        </w:tc>
        <w:tc>
          <w:tcPr>
            <w:tcW w:w="720" w:type="dxa"/>
            <w:noWrap/>
            <w:hideMark/>
          </w:tcPr>
          <w:p w14:paraId="30C0A49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0.72</w:t>
            </w:r>
          </w:p>
        </w:tc>
        <w:tc>
          <w:tcPr>
            <w:tcW w:w="900" w:type="dxa"/>
            <w:noWrap/>
            <w:hideMark/>
          </w:tcPr>
          <w:p w14:paraId="6976184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0.72</w:t>
            </w:r>
          </w:p>
        </w:tc>
        <w:tc>
          <w:tcPr>
            <w:tcW w:w="810" w:type="dxa"/>
            <w:noWrap/>
            <w:hideMark/>
          </w:tcPr>
          <w:p w14:paraId="728D5DB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0.68</w:t>
            </w:r>
          </w:p>
        </w:tc>
        <w:tc>
          <w:tcPr>
            <w:tcW w:w="900" w:type="dxa"/>
            <w:noWrap/>
            <w:hideMark/>
          </w:tcPr>
          <w:p w14:paraId="34500E3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0.72</w:t>
            </w:r>
          </w:p>
        </w:tc>
        <w:tc>
          <w:tcPr>
            <w:tcW w:w="720" w:type="dxa"/>
            <w:vAlign w:val="bottom"/>
          </w:tcPr>
          <w:p w14:paraId="7E3F2A2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0.70</w:t>
            </w:r>
          </w:p>
        </w:tc>
        <w:tc>
          <w:tcPr>
            <w:tcW w:w="810" w:type="dxa"/>
            <w:noWrap/>
            <w:hideMark/>
          </w:tcPr>
          <w:p w14:paraId="5841EF64"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3.09</w:t>
            </w:r>
          </w:p>
        </w:tc>
      </w:tr>
      <w:tr w:rsidR="005323F4" w:rsidRPr="009E1CED" w14:paraId="6929421A" w14:textId="77777777" w:rsidTr="00A313DF">
        <w:trPr>
          <w:trHeight w:hRule="exact" w:val="343"/>
        </w:trPr>
        <w:tc>
          <w:tcPr>
            <w:tcW w:w="2440" w:type="dxa"/>
            <w:noWrap/>
            <w:hideMark/>
          </w:tcPr>
          <w:p w14:paraId="614B1B5C"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Stage-7+ Impaction Plate-8</w:t>
            </w:r>
          </w:p>
        </w:tc>
        <w:tc>
          <w:tcPr>
            <w:tcW w:w="800" w:type="dxa"/>
            <w:noWrap/>
            <w:hideMark/>
          </w:tcPr>
          <w:p w14:paraId="19657BD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0.20</w:t>
            </w:r>
          </w:p>
        </w:tc>
        <w:tc>
          <w:tcPr>
            <w:tcW w:w="810" w:type="dxa"/>
            <w:noWrap/>
            <w:hideMark/>
          </w:tcPr>
          <w:p w14:paraId="654D357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0.28</w:t>
            </w:r>
          </w:p>
        </w:tc>
        <w:tc>
          <w:tcPr>
            <w:tcW w:w="990" w:type="dxa"/>
            <w:noWrap/>
            <w:hideMark/>
          </w:tcPr>
          <w:p w14:paraId="5E08AC7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0.20</w:t>
            </w:r>
          </w:p>
        </w:tc>
        <w:tc>
          <w:tcPr>
            <w:tcW w:w="990" w:type="dxa"/>
            <w:noWrap/>
            <w:hideMark/>
          </w:tcPr>
          <w:p w14:paraId="0DCDE8D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0.25</w:t>
            </w:r>
          </w:p>
        </w:tc>
        <w:tc>
          <w:tcPr>
            <w:tcW w:w="720" w:type="dxa"/>
            <w:noWrap/>
            <w:hideMark/>
          </w:tcPr>
          <w:p w14:paraId="2F6B3BA1"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0.28</w:t>
            </w:r>
          </w:p>
        </w:tc>
        <w:tc>
          <w:tcPr>
            <w:tcW w:w="900" w:type="dxa"/>
            <w:noWrap/>
            <w:hideMark/>
          </w:tcPr>
          <w:p w14:paraId="3FDB650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0.27</w:t>
            </w:r>
          </w:p>
        </w:tc>
        <w:tc>
          <w:tcPr>
            <w:tcW w:w="810" w:type="dxa"/>
            <w:noWrap/>
            <w:hideMark/>
          </w:tcPr>
          <w:p w14:paraId="5EC0B48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0.24</w:t>
            </w:r>
          </w:p>
        </w:tc>
        <w:tc>
          <w:tcPr>
            <w:tcW w:w="900" w:type="dxa"/>
            <w:noWrap/>
            <w:hideMark/>
          </w:tcPr>
          <w:p w14:paraId="21DBB01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0.24</w:t>
            </w:r>
          </w:p>
        </w:tc>
        <w:tc>
          <w:tcPr>
            <w:tcW w:w="720" w:type="dxa"/>
            <w:vAlign w:val="bottom"/>
          </w:tcPr>
          <w:p w14:paraId="03FE0EB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0.25</w:t>
            </w:r>
          </w:p>
        </w:tc>
        <w:tc>
          <w:tcPr>
            <w:tcW w:w="810" w:type="dxa"/>
            <w:noWrap/>
            <w:hideMark/>
          </w:tcPr>
          <w:p w14:paraId="4486243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13.09</w:t>
            </w:r>
          </w:p>
        </w:tc>
      </w:tr>
      <w:tr w:rsidR="005323F4" w:rsidRPr="009E1CED" w14:paraId="04C240D4" w14:textId="77777777" w:rsidTr="00A313DF">
        <w:trPr>
          <w:trHeight w:hRule="exact" w:val="343"/>
        </w:trPr>
        <w:tc>
          <w:tcPr>
            <w:tcW w:w="2440" w:type="dxa"/>
            <w:noWrap/>
            <w:hideMark/>
          </w:tcPr>
          <w:p w14:paraId="6ED9C8A4"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Stage Filter</w:t>
            </w:r>
          </w:p>
        </w:tc>
        <w:tc>
          <w:tcPr>
            <w:tcW w:w="800" w:type="dxa"/>
            <w:noWrap/>
            <w:hideMark/>
          </w:tcPr>
          <w:p w14:paraId="33F33CAE"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0.17</w:t>
            </w:r>
          </w:p>
        </w:tc>
        <w:tc>
          <w:tcPr>
            <w:tcW w:w="810" w:type="dxa"/>
            <w:noWrap/>
            <w:hideMark/>
          </w:tcPr>
          <w:p w14:paraId="156BB7D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0.22</w:t>
            </w:r>
          </w:p>
        </w:tc>
        <w:tc>
          <w:tcPr>
            <w:tcW w:w="990" w:type="dxa"/>
            <w:noWrap/>
            <w:hideMark/>
          </w:tcPr>
          <w:p w14:paraId="6078FB76"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0.24</w:t>
            </w:r>
          </w:p>
        </w:tc>
        <w:tc>
          <w:tcPr>
            <w:tcW w:w="990" w:type="dxa"/>
            <w:noWrap/>
            <w:hideMark/>
          </w:tcPr>
          <w:p w14:paraId="1C53D2D5"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0.25</w:t>
            </w:r>
          </w:p>
        </w:tc>
        <w:tc>
          <w:tcPr>
            <w:tcW w:w="720" w:type="dxa"/>
            <w:noWrap/>
            <w:hideMark/>
          </w:tcPr>
          <w:p w14:paraId="56CBFD9C"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0.22</w:t>
            </w:r>
          </w:p>
        </w:tc>
        <w:tc>
          <w:tcPr>
            <w:tcW w:w="900" w:type="dxa"/>
            <w:noWrap/>
            <w:hideMark/>
          </w:tcPr>
          <w:p w14:paraId="6ACD276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0.20</w:t>
            </w:r>
          </w:p>
        </w:tc>
        <w:tc>
          <w:tcPr>
            <w:tcW w:w="810" w:type="dxa"/>
            <w:noWrap/>
            <w:hideMark/>
          </w:tcPr>
          <w:p w14:paraId="5B6DA389"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0.19</w:t>
            </w:r>
          </w:p>
        </w:tc>
        <w:tc>
          <w:tcPr>
            <w:tcW w:w="900" w:type="dxa"/>
            <w:noWrap/>
            <w:hideMark/>
          </w:tcPr>
          <w:p w14:paraId="1827A83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0.21</w:t>
            </w:r>
          </w:p>
        </w:tc>
        <w:tc>
          <w:tcPr>
            <w:tcW w:w="720" w:type="dxa"/>
            <w:vAlign w:val="bottom"/>
          </w:tcPr>
          <w:p w14:paraId="446C4F7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0.21</w:t>
            </w:r>
          </w:p>
        </w:tc>
        <w:tc>
          <w:tcPr>
            <w:tcW w:w="810" w:type="dxa"/>
            <w:noWrap/>
            <w:hideMark/>
          </w:tcPr>
          <w:p w14:paraId="0A30949F"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12.26</w:t>
            </w:r>
          </w:p>
        </w:tc>
      </w:tr>
      <w:tr w:rsidR="005323F4" w:rsidRPr="009E1CED" w14:paraId="7049C65A" w14:textId="77777777" w:rsidTr="00A313DF">
        <w:trPr>
          <w:trHeight w:hRule="exact" w:val="343"/>
        </w:trPr>
        <w:tc>
          <w:tcPr>
            <w:tcW w:w="2440" w:type="dxa"/>
          </w:tcPr>
          <w:p w14:paraId="2B3DA6CF" w14:textId="77777777" w:rsidR="005323F4" w:rsidRPr="009E1CED" w:rsidRDefault="005323F4" w:rsidP="00A313DF">
            <w:pPr>
              <w:jc w:val="center"/>
              <w:rPr>
                <w:rFonts w:ascii="Arial" w:eastAsia="Times New Roman" w:hAnsi="Arial" w:cs="Arial"/>
                <w:b/>
                <w:bCs/>
                <w:color w:val="000000"/>
                <w:sz w:val="20"/>
                <w:szCs w:val="20"/>
              </w:rPr>
            </w:pPr>
            <w:r w:rsidRPr="009E1CED">
              <w:rPr>
                <w:rFonts w:ascii="Arial" w:eastAsia="Times New Roman" w:hAnsi="Arial" w:cs="Arial"/>
                <w:b/>
                <w:bCs/>
                <w:color w:val="000000"/>
                <w:sz w:val="20"/>
                <w:szCs w:val="20"/>
              </w:rPr>
              <w:t xml:space="preserve">Mass Balance (total </w:t>
            </w:r>
          </w:p>
        </w:tc>
        <w:tc>
          <w:tcPr>
            <w:tcW w:w="800" w:type="dxa"/>
            <w:noWrap/>
            <w:hideMark/>
          </w:tcPr>
          <w:p w14:paraId="773529F7"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101.40</w:t>
            </w:r>
          </w:p>
        </w:tc>
        <w:tc>
          <w:tcPr>
            <w:tcW w:w="810" w:type="dxa"/>
            <w:noWrap/>
            <w:hideMark/>
          </w:tcPr>
          <w:p w14:paraId="4D97CF9B"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98.62</w:t>
            </w:r>
          </w:p>
        </w:tc>
        <w:tc>
          <w:tcPr>
            <w:tcW w:w="990" w:type="dxa"/>
            <w:noWrap/>
            <w:hideMark/>
          </w:tcPr>
          <w:p w14:paraId="5404564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100.21</w:t>
            </w:r>
          </w:p>
        </w:tc>
        <w:tc>
          <w:tcPr>
            <w:tcW w:w="990" w:type="dxa"/>
            <w:noWrap/>
            <w:hideMark/>
          </w:tcPr>
          <w:p w14:paraId="456EF45A"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102.66</w:t>
            </w:r>
          </w:p>
        </w:tc>
        <w:tc>
          <w:tcPr>
            <w:tcW w:w="720" w:type="dxa"/>
            <w:noWrap/>
            <w:hideMark/>
          </w:tcPr>
          <w:p w14:paraId="4CA105A0"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105.32</w:t>
            </w:r>
          </w:p>
        </w:tc>
        <w:tc>
          <w:tcPr>
            <w:tcW w:w="900" w:type="dxa"/>
            <w:noWrap/>
            <w:hideMark/>
          </w:tcPr>
          <w:p w14:paraId="5861984D"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99.57</w:t>
            </w:r>
          </w:p>
        </w:tc>
        <w:tc>
          <w:tcPr>
            <w:tcW w:w="810" w:type="dxa"/>
            <w:noWrap/>
            <w:hideMark/>
          </w:tcPr>
          <w:p w14:paraId="331C9F42"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96.70</w:t>
            </w:r>
          </w:p>
        </w:tc>
        <w:tc>
          <w:tcPr>
            <w:tcW w:w="900" w:type="dxa"/>
            <w:noWrap/>
            <w:hideMark/>
          </w:tcPr>
          <w:p w14:paraId="6C168648" w14:textId="77777777" w:rsidR="005323F4" w:rsidRPr="009E1CED" w:rsidRDefault="005323F4" w:rsidP="00A313DF">
            <w:pPr>
              <w:jc w:val="center"/>
              <w:rPr>
                <w:rFonts w:ascii="Arial" w:eastAsia="Times New Roman" w:hAnsi="Arial" w:cs="Arial"/>
                <w:color w:val="000000"/>
                <w:sz w:val="20"/>
                <w:szCs w:val="20"/>
              </w:rPr>
            </w:pPr>
            <w:r w:rsidRPr="009E1CED">
              <w:rPr>
                <w:rFonts w:ascii="Arial" w:eastAsia="Times New Roman" w:hAnsi="Arial" w:cs="Arial"/>
                <w:color w:val="000000"/>
                <w:sz w:val="20"/>
                <w:szCs w:val="20"/>
              </w:rPr>
              <w:t>100.17</w:t>
            </w:r>
          </w:p>
        </w:tc>
        <w:tc>
          <w:tcPr>
            <w:tcW w:w="720" w:type="dxa"/>
            <w:vAlign w:val="bottom"/>
          </w:tcPr>
          <w:p w14:paraId="372A7A28" w14:textId="77777777" w:rsidR="005323F4" w:rsidRPr="009E1CED" w:rsidRDefault="005323F4" w:rsidP="00A313DF">
            <w:pPr>
              <w:rPr>
                <w:rFonts w:ascii="Arial" w:eastAsia="Times New Roman" w:hAnsi="Arial" w:cs="Arial"/>
                <w:color w:val="000000"/>
                <w:sz w:val="20"/>
                <w:szCs w:val="20"/>
              </w:rPr>
            </w:pPr>
            <w:r w:rsidRPr="009E1CED">
              <w:rPr>
                <w:rFonts w:ascii="Arial" w:eastAsia="Times New Roman" w:hAnsi="Arial" w:cs="Arial"/>
                <w:color w:val="000000"/>
                <w:sz w:val="20"/>
                <w:szCs w:val="20"/>
              </w:rPr>
              <w:t>100.58</w:t>
            </w:r>
          </w:p>
        </w:tc>
        <w:tc>
          <w:tcPr>
            <w:tcW w:w="810" w:type="dxa"/>
            <w:noWrap/>
            <w:hideMark/>
          </w:tcPr>
          <w:p w14:paraId="739D3010" w14:textId="77777777" w:rsidR="005323F4" w:rsidRPr="009E1CED" w:rsidRDefault="005323F4" w:rsidP="00A313DF">
            <w:pPr>
              <w:jc w:val="center"/>
              <w:rPr>
                <w:rFonts w:ascii="Arial" w:eastAsia="Times New Roman" w:hAnsi="Arial" w:cs="Arial"/>
                <w:b/>
                <w:color w:val="000000"/>
                <w:sz w:val="20"/>
                <w:szCs w:val="20"/>
                <w:u w:val="single"/>
              </w:rPr>
            </w:pPr>
            <w:r w:rsidRPr="009E1CED">
              <w:rPr>
                <w:rFonts w:ascii="Arial" w:eastAsia="Times New Roman" w:hAnsi="Arial" w:cs="Arial"/>
                <w:b/>
                <w:color w:val="000000"/>
                <w:sz w:val="20"/>
                <w:szCs w:val="20"/>
                <w:u w:val="single"/>
              </w:rPr>
              <w:t>2.59</w:t>
            </w:r>
          </w:p>
        </w:tc>
      </w:tr>
    </w:tbl>
    <w:p w14:paraId="594B644D" w14:textId="77777777" w:rsidR="005323F4" w:rsidRPr="009E1CED" w:rsidRDefault="005323F4" w:rsidP="005323F4">
      <w:pPr>
        <w:shd w:val="clear" w:color="auto" w:fill="FFFFFF"/>
        <w:spacing w:after="0" w:line="360" w:lineRule="auto"/>
        <w:jc w:val="both"/>
        <w:rPr>
          <w:rFonts w:ascii="Arial" w:eastAsia="Times New Roman" w:hAnsi="Arial" w:cs="Arial"/>
          <w:color w:val="222222"/>
          <w:sz w:val="20"/>
          <w:szCs w:val="20"/>
        </w:rPr>
      </w:pPr>
    </w:p>
    <w:p w14:paraId="3C53D6AF" w14:textId="77777777" w:rsidR="005323F4" w:rsidRPr="009E1CED" w:rsidRDefault="005323F4" w:rsidP="005323F4">
      <w:pPr>
        <w:shd w:val="clear" w:color="auto" w:fill="FFFFFF"/>
        <w:spacing w:after="0" w:line="240" w:lineRule="auto"/>
        <w:ind w:left="-810" w:right="-810"/>
        <w:jc w:val="both"/>
        <w:rPr>
          <w:rFonts w:ascii="Arial" w:eastAsia="Times New Roman" w:hAnsi="Arial" w:cs="Arial"/>
          <w:color w:val="222222"/>
          <w:sz w:val="20"/>
          <w:szCs w:val="20"/>
        </w:rPr>
      </w:pPr>
      <w:r w:rsidRPr="009E1CED">
        <w:rPr>
          <w:rFonts w:ascii="Arial" w:eastAsia="Times New Roman" w:hAnsi="Arial" w:cs="Arial"/>
          <w:color w:val="222222"/>
          <w:sz w:val="20"/>
          <w:szCs w:val="20"/>
        </w:rPr>
        <w:t>*Fluticasone propionate recovery is expressed as % Label Claim (220mcg per spray). Reported values are derived from four sprays.</w:t>
      </w:r>
    </w:p>
    <w:p w14:paraId="775FC2F3" w14:textId="77777777" w:rsidR="005323F4" w:rsidRPr="009E1CED" w:rsidRDefault="005323F4" w:rsidP="005323F4">
      <w:pPr>
        <w:shd w:val="clear" w:color="auto" w:fill="FFFFFF"/>
        <w:spacing w:after="0" w:line="240" w:lineRule="auto"/>
        <w:ind w:left="-810" w:right="-810"/>
        <w:jc w:val="both"/>
        <w:rPr>
          <w:rFonts w:ascii="Arial" w:eastAsia="Times New Roman" w:hAnsi="Arial" w:cs="Arial"/>
          <w:color w:val="222222"/>
          <w:sz w:val="20"/>
          <w:szCs w:val="20"/>
        </w:rPr>
      </w:pPr>
      <w:r w:rsidRPr="009E1CED">
        <w:rPr>
          <w:rFonts w:ascii="Arial" w:eastAsia="Times New Roman" w:hAnsi="Arial" w:cs="Arial"/>
          <w:color w:val="222222"/>
          <w:sz w:val="20"/>
          <w:szCs w:val="20"/>
        </w:rPr>
        <w:t>#Impaction Plate 1 is below Stage 0, Impaction Plate 2 is below Stage 1, etc. Reported fluticasone propionate recovery includes drug from each Stage and its corresponding Impaction Plate.</w:t>
      </w:r>
    </w:p>
    <w:p w14:paraId="2FC6DA24"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p>
    <w:p w14:paraId="7AAB6646"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p>
    <w:p w14:paraId="1C7F8B69"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CONCLUSION</w:t>
      </w:r>
    </w:p>
    <w:p w14:paraId="6D1A8B65" w14:textId="636B1E2A" w:rsidR="005323F4" w:rsidRPr="009E1CED" w:rsidRDefault="005323F4" w:rsidP="005323F4">
      <w:pPr>
        <w:shd w:val="clear" w:color="auto" w:fill="FFFFFF"/>
        <w:spacing w:after="0" w:line="360" w:lineRule="auto"/>
        <w:jc w:val="both"/>
        <w:rPr>
          <w:rFonts w:ascii="Arial" w:hAnsi="Arial" w:cs="Arial"/>
          <w:color w:val="000000" w:themeColor="text1"/>
          <w:sz w:val="20"/>
          <w:szCs w:val="20"/>
        </w:rPr>
      </w:pPr>
      <w:r w:rsidRPr="009E1CED">
        <w:rPr>
          <w:rFonts w:ascii="Arial" w:eastAsia="Times New Roman" w:hAnsi="Arial" w:cs="Arial"/>
          <w:color w:val="222222"/>
          <w:sz w:val="20"/>
          <w:szCs w:val="20"/>
        </w:rPr>
        <w:t xml:space="preserve">Eight aerodynamic particle size determinations performed using the fully automated A3G cascade impactor resulted in mass balances between 96.70% to 105.32% of Label Claim for Flovent HFA. These values corroborate unpublished previous results suggesting the A3G is able to generate highly accurate and reproducible data. The A3G represents a </w:t>
      </w:r>
      <w:r w:rsidRPr="009E1CED">
        <w:rPr>
          <w:rFonts w:ascii="Arial" w:eastAsia="Times New Roman" w:hAnsi="Arial" w:cs="Arial"/>
          <w:color w:val="000000" w:themeColor="text1"/>
          <w:sz w:val="20"/>
          <w:szCs w:val="20"/>
        </w:rPr>
        <w:t xml:space="preserve">fast and cost-effective alternative to manual Anderson cascade impactor methods. Furthermore, adoption of the automated A3G system retains the flexibility of the conventional ACI. For example, air </w:t>
      </w:r>
      <w:r w:rsidRPr="009E1CED">
        <w:rPr>
          <w:rFonts w:ascii="Arial" w:hAnsi="Arial" w:cs="Arial"/>
          <w:color w:val="000000" w:themeColor="text1"/>
          <w:sz w:val="20"/>
          <w:szCs w:val="20"/>
        </w:rPr>
        <w:t>flow rates of 60 to 90 L/min can be used by simply swapping in and out the appropriate ACI stages, which takes less than ten minutes.</w:t>
      </w:r>
    </w:p>
    <w:p w14:paraId="2E629528"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ACKNOWLEDGEMENT</w:t>
      </w:r>
    </w:p>
    <w:p w14:paraId="1AE74923" w14:textId="51851B2C" w:rsidR="005323F4" w:rsidRPr="009E1CED" w:rsidRDefault="005323F4" w:rsidP="005323F4">
      <w:pPr>
        <w:shd w:val="clear" w:color="auto" w:fill="FFFFFF"/>
        <w:spacing w:after="0" w:line="360" w:lineRule="auto"/>
        <w:jc w:val="both"/>
        <w:rPr>
          <w:rFonts w:ascii="Arial" w:eastAsia="Times New Roman" w:hAnsi="Arial" w:cs="Arial"/>
          <w:color w:val="222222"/>
          <w:sz w:val="20"/>
          <w:szCs w:val="20"/>
        </w:rPr>
      </w:pPr>
      <w:r w:rsidRPr="009E1CED">
        <w:rPr>
          <w:rFonts w:ascii="Arial" w:eastAsia="Times New Roman" w:hAnsi="Arial" w:cs="Arial"/>
          <w:color w:val="222222"/>
          <w:sz w:val="20"/>
          <w:szCs w:val="20"/>
        </w:rPr>
        <w:t>The authors of this work are grateful to the management and Analytical Research and Development Laboratory staff of Zydus Cadila Healthcare Limited for supporting this work.</w:t>
      </w:r>
    </w:p>
    <w:p w14:paraId="35ED747E" w14:textId="77777777" w:rsidR="005323F4" w:rsidRPr="009E1CED" w:rsidRDefault="005323F4" w:rsidP="005323F4">
      <w:pPr>
        <w:shd w:val="clear" w:color="auto" w:fill="FFFFFF"/>
        <w:spacing w:after="0" w:line="360" w:lineRule="auto"/>
        <w:jc w:val="center"/>
        <w:rPr>
          <w:rFonts w:ascii="Arial" w:eastAsia="Times New Roman" w:hAnsi="Arial" w:cs="Arial"/>
          <w:b/>
          <w:color w:val="222222"/>
          <w:sz w:val="20"/>
          <w:szCs w:val="20"/>
        </w:rPr>
      </w:pPr>
      <w:r w:rsidRPr="009E1CED">
        <w:rPr>
          <w:rFonts w:ascii="Arial" w:eastAsia="Times New Roman" w:hAnsi="Arial" w:cs="Arial"/>
          <w:b/>
          <w:color w:val="222222"/>
          <w:sz w:val="20"/>
          <w:szCs w:val="20"/>
        </w:rPr>
        <w:t>REFERENCES</w:t>
      </w:r>
    </w:p>
    <w:p w14:paraId="719AE920" w14:textId="77777777" w:rsidR="005323F4" w:rsidRPr="009E1CED" w:rsidRDefault="005323F4" w:rsidP="005323F4">
      <w:pPr>
        <w:pStyle w:val="ListParagraph"/>
        <w:numPr>
          <w:ilvl w:val="0"/>
          <w:numId w:val="4"/>
        </w:numPr>
        <w:spacing w:after="200" w:line="276" w:lineRule="auto"/>
        <w:rPr>
          <w:rFonts w:ascii="Arial" w:eastAsia="Times New Roman" w:hAnsi="Arial" w:cs="Arial"/>
          <w:bCs/>
          <w:color w:val="222222"/>
          <w:sz w:val="20"/>
          <w:szCs w:val="20"/>
        </w:rPr>
      </w:pPr>
      <w:r w:rsidRPr="009E1CED">
        <w:rPr>
          <w:rFonts w:ascii="Arial" w:eastAsia="Times New Roman" w:hAnsi="Arial" w:cs="Arial"/>
          <w:bCs/>
          <w:color w:val="222222"/>
          <w:sz w:val="20"/>
          <w:szCs w:val="20"/>
        </w:rPr>
        <w:t xml:space="preserve">Minimizing Variability of Cascade Impaction Measurements in Inhalers and Nebulizers by Bonam, M., Christopher, D., Cipolla, D. et al.  AAPS PharmSciTech 9, 404–413 (2008). </w:t>
      </w:r>
      <w:hyperlink r:id="rId10" w:history="1">
        <w:r w:rsidRPr="009E1CED">
          <w:rPr>
            <w:rStyle w:val="Hyperlink"/>
            <w:rFonts w:ascii="Arial" w:eastAsia="Times New Roman" w:hAnsi="Arial" w:cs="Arial"/>
            <w:bCs/>
            <w:sz w:val="20"/>
            <w:szCs w:val="20"/>
          </w:rPr>
          <w:t>https://doi.org/10.1208/s12249-008-9045-9</w:t>
        </w:r>
      </w:hyperlink>
    </w:p>
    <w:p w14:paraId="5EEE6B48" w14:textId="77777777" w:rsidR="005323F4" w:rsidRPr="009E1CED" w:rsidRDefault="005323F4" w:rsidP="005323F4">
      <w:pPr>
        <w:pStyle w:val="ListParagraph"/>
        <w:numPr>
          <w:ilvl w:val="0"/>
          <w:numId w:val="4"/>
        </w:numPr>
        <w:spacing w:after="200" w:line="276" w:lineRule="auto"/>
        <w:rPr>
          <w:rFonts w:ascii="Arial" w:eastAsia="Times New Roman" w:hAnsi="Arial" w:cs="Arial"/>
          <w:bCs/>
          <w:color w:val="222222"/>
          <w:sz w:val="20"/>
          <w:szCs w:val="20"/>
        </w:rPr>
      </w:pPr>
      <w:r w:rsidRPr="009E1CED">
        <w:rPr>
          <w:rFonts w:ascii="Arial" w:eastAsia="Times New Roman" w:hAnsi="Arial" w:cs="Arial"/>
          <w:bCs/>
          <w:color w:val="222222"/>
          <w:sz w:val="20"/>
          <w:szCs w:val="20"/>
        </w:rPr>
        <w:t>United States Pharmacopeia, USP 39-NF34. Rockville, MD. United States Pharmacopeial Concention. Monograph for Fluticasone Propionate Inhalation Aerosol, 4001-4005</w:t>
      </w:r>
    </w:p>
    <w:p w14:paraId="7B969054" w14:textId="77777777" w:rsidR="005323F4" w:rsidRPr="009E1CED" w:rsidRDefault="005323F4" w:rsidP="005323F4">
      <w:pPr>
        <w:pStyle w:val="ListParagraph"/>
        <w:numPr>
          <w:ilvl w:val="0"/>
          <w:numId w:val="4"/>
        </w:numPr>
        <w:spacing w:after="200" w:line="276" w:lineRule="auto"/>
        <w:rPr>
          <w:rFonts w:ascii="Arial" w:eastAsia="Times New Roman" w:hAnsi="Arial" w:cs="Arial"/>
          <w:bCs/>
          <w:color w:val="222222"/>
          <w:sz w:val="20"/>
          <w:szCs w:val="20"/>
        </w:rPr>
      </w:pPr>
      <w:r w:rsidRPr="009E1CED">
        <w:rPr>
          <w:rFonts w:ascii="Arial" w:eastAsia="Times New Roman" w:hAnsi="Arial" w:cs="Arial"/>
          <w:bCs/>
          <w:color w:val="222222"/>
          <w:sz w:val="20"/>
          <w:szCs w:val="20"/>
        </w:rPr>
        <w:t>A3G - Automated Andersen Cascade Impactor by Maheshwari RK, Patel K, Patel V, Maheshwari KK, Javia A, Sutaria V. RDD Europe 2017. Volume 2, 2017: 249-254.</w:t>
      </w:r>
    </w:p>
    <w:p w14:paraId="5A2BEB4A" w14:textId="77777777" w:rsidR="005323F4" w:rsidRPr="009E1CED" w:rsidRDefault="005323F4" w:rsidP="005323F4">
      <w:pPr>
        <w:pStyle w:val="ListParagraph"/>
        <w:numPr>
          <w:ilvl w:val="0"/>
          <w:numId w:val="4"/>
        </w:numPr>
        <w:spacing w:after="200" w:line="276" w:lineRule="auto"/>
        <w:rPr>
          <w:rFonts w:ascii="Arial" w:eastAsia="Times New Roman" w:hAnsi="Arial" w:cs="Arial"/>
          <w:bCs/>
          <w:color w:val="222222"/>
          <w:sz w:val="20"/>
          <w:szCs w:val="20"/>
        </w:rPr>
      </w:pPr>
      <w:r w:rsidRPr="009E1CED">
        <w:rPr>
          <w:rFonts w:ascii="Arial" w:eastAsia="Times New Roman" w:hAnsi="Arial" w:cs="Arial"/>
          <w:bCs/>
          <w:color w:val="222222"/>
          <w:sz w:val="20"/>
          <w:szCs w:val="20"/>
        </w:rPr>
        <w:t>Development Of A3G – Automated Andersen Cascade Impactor by Maheshwari RK, Sharma A, Maheshwari KK. RDD Asia 2014. Volume 1, 2014: 203-206.</w:t>
      </w:r>
    </w:p>
    <w:p w14:paraId="7B16784F" w14:textId="77777777" w:rsidR="005323F4" w:rsidRPr="009E1CED" w:rsidRDefault="005323F4" w:rsidP="001F6FEE">
      <w:pPr>
        <w:jc w:val="both"/>
        <w:rPr>
          <w:rFonts w:ascii="Arial" w:hAnsi="Arial" w:cs="Arial"/>
          <w:b/>
          <w:bCs/>
          <w:sz w:val="20"/>
          <w:szCs w:val="20"/>
        </w:rPr>
      </w:pPr>
    </w:p>
    <w:p w14:paraId="4FE0D397" w14:textId="77777777" w:rsidR="00C148C3" w:rsidRPr="009E1CED" w:rsidRDefault="00C148C3" w:rsidP="001F6FEE">
      <w:pPr>
        <w:jc w:val="both"/>
        <w:rPr>
          <w:rFonts w:ascii="Arial" w:hAnsi="Arial" w:cs="Arial"/>
          <w:b/>
          <w:bCs/>
          <w:sz w:val="20"/>
          <w:szCs w:val="20"/>
        </w:rPr>
      </w:pPr>
    </w:p>
    <w:p w14:paraId="734180CB" w14:textId="77777777" w:rsidR="00620C55" w:rsidRDefault="00620C55" w:rsidP="001F6FEE">
      <w:pPr>
        <w:jc w:val="both"/>
        <w:rPr>
          <w:rFonts w:ascii="Arial" w:hAnsi="Arial" w:cs="Arial"/>
          <w:b/>
          <w:bCs/>
          <w:sz w:val="20"/>
          <w:szCs w:val="20"/>
        </w:rPr>
      </w:pPr>
    </w:p>
    <w:p w14:paraId="1750B00C" w14:textId="77777777" w:rsidR="009E1CED" w:rsidRPr="009E1CED" w:rsidRDefault="009E1CED" w:rsidP="001F6FEE">
      <w:pPr>
        <w:jc w:val="both"/>
        <w:rPr>
          <w:rFonts w:ascii="Arial" w:hAnsi="Arial" w:cs="Arial"/>
          <w:b/>
          <w:bCs/>
          <w:sz w:val="20"/>
          <w:szCs w:val="20"/>
        </w:rPr>
      </w:pPr>
    </w:p>
    <w:p w14:paraId="0CD85855" w14:textId="77777777" w:rsidR="00620C55" w:rsidRPr="009E1CED" w:rsidRDefault="00620C55" w:rsidP="00620C55">
      <w:pPr>
        <w:jc w:val="both"/>
        <w:rPr>
          <w:rFonts w:ascii="Arial" w:hAnsi="Arial" w:cs="Arial"/>
          <w:b/>
          <w:bCs/>
          <w:sz w:val="20"/>
          <w:szCs w:val="20"/>
        </w:rPr>
      </w:pPr>
      <w:r w:rsidRPr="009E1CED">
        <w:rPr>
          <w:rFonts w:ascii="Arial" w:hAnsi="Arial" w:cs="Arial"/>
          <w:b/>
          <w:bCs/>
          <w:sz w:val="20"/>
          <w:szCs w:val="20"/>
        </w:rPr>
        <w:lastRenderedPageBreak/>
        <w:t>Poster Presentation</w:t>
      </w:r>
    </w:p>
    <w:p w14:paraId="42F45BC7" w14:textId="77777777" w:rsidR="00620C55" w:rsidRPr="009E1CED" w:rsidRDefault="00620C55" w:rsidP="00620C55">
      <w:pPr>
        <w:jc w:val="center"/>
        <w:rPr>
          <w:rFonts w:ascii="Arial" w:hAnsi="Arial" w:cs="Arial"/>
          <w:b/>
          <w:bCs/>
          <w:color w:val="000000" w:themeColor="text1"/>
          <w:sz w:val="20"/>
          <w:szCs w:val="20"/>
        </w:rPr>
      </w:pPr>
      <w:r w:rsidRPr="009E1CED">
        <w:rPr>
          <w:rFonts w:ascii="Arial" w:hAnsi="Arial" w:cs="Arial"/>
          <w:b/>
          <w:bCs/>
          <w:color w:val="000000" w:themeColor="text1"/>
          <w:sz w:val="20"/>
          <w:szCs w:val="20"/>
        </w:rPr>
        <w:t>Development of Beclomethasone pMDI Solution Using Low GWP HFA152a Propellant</w:t>
      </w:r>
    </w:p>
    <w:p w14:paraId="3371A8C7" w14:textId="77777777" w:rsidR="00620C55" w:rsidRPr="009E1CED" w:rsidRDefault="00620C55" w:rsidP="00620C55">
      <w:pPr>
        <w:rPr>
          <w:rFonts w:ascii="Arial" w:hAnsi="Arial" w:cs="Arial"/>
          <w:sz w:val="20"/>
          <w:szCs w:val="20"/>
        </w:rPr>
      </w:pPr>
    </w:p>
    <w:p w14:paraId="2A6498B6" w14:textId="77777777" w:rsidR="00620C55" w:rsidRPr="009E1CED" w:rsidRDefault="00000000" w:rsidP="00620C55">
      <w:pPr>
        <w:pStyle w:val="DDLSubtitle"/>
        <w:rPr>
          <w:rFonts w:cs="Arial"/>
          <w:sz w:val="20"/>
          <w:szCs w:val="20"/>
          <w:lang w:val="it-IT"/>
        </w:rPr>
      </w:pPr>
      <w:sdt>
        <w:sdtPr>
          <w:rPr>
            <w:rFonts w:cs="Arial"/>
            <w:sz w:val="20"/>
            <w:szCs w:val="20"/>
            <w:u w:val="single"/>
          </w:rPr>
          <w:alias w:val="Main Author"/>
          <w:tag w:val="Main Author"/>
          <w:id w:val="-797457722"/>
          <w:placeholder>
            <w:docPart w:val="FAEC8E0996695A438FC52E62DDB95D19"/>
          </w:placeholder>
        </w:sdtPr>
        <w:sdtContent>
          <w:r w:rsidR="00620C55" w:rsidRPr="009E1CED">
            <w:rPr>
              <w:rFonts w:cs="Arial"/>
              <w:sz w:val="20"/>
              <w:szCs w:val="20"/>
              <w:u w:val="single"/>
              <w:lang w:val="it-IT"/>
            </w:rPr>
            <w:t>Giulia Carretta</w:t>
          </w:r>
        </w:sdtContent>
      </w:sdt>
      <w:r w:rsidR="00620C55" w:rsidRPr="009E1CED">
        <w:rPr>
          <w:rFonts w:cs="Arial"/>
          <w:sz w:val="20"/>
          <w:szCs w:val="20"/>
          <w:vertAlign w:val="superscript"/>
          <w:lang w:val="it-IT"/>
        </w:rPr>
        <w:t>1</w:t>
      </w:r>
      <w:r w:rsidR="00620C55" w:rsidRPr="009E1CED">
        <w:rPr>
          <w:rFonts w:cs="Arial"/>
          <w:sz w:val="20"/>
          <w:szCs w:val="20"/>
          <w:lang w:val="it-IT"/>
        </w:rPr>
        <w:t>, Giada Varacca</w:t>
      </w:r>
      <w:r w:rsidR="00620C55" w:rsidRPr="009E1CED">
        <w:rPr>
          <w:rFonts w:cs="Arial"/>
          <w:sz w:val="20"/>
          <w:szCs w:val="20"/>
          <w:vertAlign w:val="superscript"/>
          <w:lang w:val="it-IT"/>
        </w:rPr>
        <w:t>1</w:t>
      </w:r>
      <w:r w:rsidR="00620C55" w:rsidRPr="009E1CED">
        <w:rPr>
          <w:rFonts w:cs="Arial"/>
          <w:sz w:val="20"/>
          <w:szCs w:val="20"/>
          <w:lang w:val="it-IT"/>
        </w:rPr>
        <w:t>, Eride Quarta</w:t>
      </w:r>
      <w:r w:rsidR="00620C55" w:rsidRPr="009E1CED">
        <w:rPr>
          <w:rFonts w:cs="Arial"/>
          <w:sz w:val="20"/>
          <w:szCs w:val="20"/>
          <w:vertAlign w:val="superscript"/>
          <w:lang w:val="it-IT"/>
        </w:rPr>
        <w:t>1</w:t>
      </w:r>
      <w:r w:rsidR="00620C55" w:rsidRPr="009E1CED">
        <w:rPr>
          <w:rFonts w:cs="Arial"/>
          <w:sz w:val="20"/>
          <w:szCs w:val="20"/>
          <w:lang w:val="it-IT"/>
        </w:rPr>
        <w:t xml:space="preserve"> Alberto Colombo</w:t>
      </w:r>
      <w:r w:rsidR="00620C55" w:rsidRPr="009E1CED">
        <w:rPr>
          <w:rFonts w:cs="Arial"/>
          <w:sz w:val="20"/>
          <w:szCs w:val="20"/>
          <w:vertAlign w:val="superscript"/>
          <w:lang w:val="it-IT"/>
        </w:rPr>
        <w:t>2</w:t>
      </w:r>
      <w:r w:rsidR="00620C55" w:rsidRPr="009E1CED">
        <w:rPr>
          <w:rFonts w:cs="Arial"/>
          <w:sz w:val="20"/>
          <w:szCs w:val="20"/>
          <w:lang w:val="it-IT"/>
        </w:rPr>
        <w:t>, Giovanni Motta</w:t>
      </w:r>
      <w:r w:rsidR="00620C55" w:rsidRPr="009E1CED">
        <w:rPr>
          <w:rFonts w:cs="Arial"/>
          <w:sz w:val="20"/>
          <w:szCs w:val="20"/>
          <w:vertAlign w:val="superscript"/>
          <w:lang w:val="it-IT"/>
        </w:rPr>
        <w:t>2</w:t>
      </w:r>
      <w:r w:rsidR="00620C55" w:rsidRPr="009E1CED">
        <w:rPr>
          <w:rFonts w:cs="Arial"/>
          <w:sz w:val="20"/>
          <w:szCs w:val="20"/>
          <w:lang w:val="it-IT"/>
        </w:rPr>
        <w:t>, Massimo Carrara</w:t>
      </w:r>
      <w:r w:rsidR="00620C55" w:rsidRPr="009E1CED">
        <w:rPr>
          <w:rFonts w:cs="Arial"/>
          <w:sz w:val="20"/>
          <w:szCs w:val="20"/>
          <w:vertAlign w:val="superscript"/>
          <w:lang w:val="it-IT"/>
        </w:rPr>
        <w:t>2</w:t>
      </w:r>
      <w:r w:rsidR="00620C55" w:rsidRPr="009E1CED">
        <w:rPr>
          <w:rFonts w:cs="Arial"/>
          <w:sz w:val="20"/>
          <w:szCs w:val="20"/>
          <w:lang w:val="it-IT"/>
        </w:rPr>
        <w:t xml:space="preserve"> &amp; Francesca Buttini</w:t>
      </w:r>
      <w:r w:rsidR="00620C55" w:rsidRPr="009E1CED">
        <w:rPr>
          <w:rFonts w:cs="Arial"/>
          <w:sz w:val="20"/>
          <w:szCs w:val="20"/>
          <w:vertAlign w:val="superscript"/>
          <w:lang w:val="it-IT"/>
        </w:rPr>
        <w:t>1</w:t>
      </w:r>
    </w:p>
    <w:p w14:paraId="70433D5B" w14:textId="77777777" w:rsidR="00620C55" w:rsidRPr="009E1CED" w:rsidRDefault="00620C55" w:rsidP="00620C55">
      <w:pPr>
        <w:spacing w:line="360" w:lineRule="auto"/>
        <w:ind w:right="-574"/>
        <w:jc w:val="center"/>
        <w:rPr>
          <w:rStyle w:val="Emphasis"/>
          <w:rFonts w:ascii="Arial" w:hAnsi="Arial" w:cs="Arial"/>
          <w:sz w:val="20"/>
          <w:szCs w:val="20"/>
          <w:lang w:val="en-US"/>
        </w:rPr>
      </w:pPr>
      <w:r w:rsidRPr="009E1CED">
        <w:rPr>
          <w:rFonts w:ascii="Arial" w:hAnsi="Arial" w:cs="Arial"/>
          <w:color w:val="000000"/>
          <w:sz w:val="20"/>
          <w:szCs w:val="20"/>
          <w:vertAlign w:val="superscript"/>
        </w:rPr>
        <w:t xml:space="preserve">1 </w:t>
      </w:r>
      <w:r w:rsidRPr="009E1CED">
        <w:rPr>
          <w:rFonts w:ascii="Arial" w:hAnsi="Arial" w:cs="Arial"/>
          <w:color w:val="000000"/>
          <w:sz w:val="20"/>
          <w:szCs w:val="20"/>
        </w:rPr>
        <w:t>Food and Drug Department, University of Parma, Parco Area delle Scienze 27/A, 43124 Parma, Italy.</w:t>
      </w:r>
    </w:p>
    <w:p w14:paraId="5E95B196" w14:textId="77777777" w:rsidR="00620C55" w:rsidRPr="009E1CED" w:rsidRDefault="00620C55" w:rsidP="00620C55">
      <w:pPr>
        <w:pStyle w:val="DDLAddress2"/>
        <w:rPr>
          <w:rFonts w:cs="Arial"/>
          <w:sz w:val="20"/>
          <w:szCs w:val="20"/>
          <w:lang w:val="it-IT"/>
        </w:rPr>
      </w:pPr>
      <w:r w:rsidRPr="009E1CED">
        <w:rPr>
          <w:rFonts w:cs="Arial"/>
          <w:sz w:val="20"/>
          <w:szCs w:val="20"/>
          <w:vertAlign w:val="superscript"/>
          <w:lang w:val="it-IT"/>
        </w:rPr>
        <w:t xml:space="preserve">2 </w:t>
      </w:r>
      <w:r w:rsidRPr="009E1CED">
        <w:rPr>
          <w:rFonts w:cs="Arial"/>
          <w:sz w:val="20"/>
          <w:szCs w:val="20"/>
          <w:lang w:val="it-IT"/>
        </w:rPr>
        <w:t>RxPack s.r.l, Via Mognago 47, 23848, Oggiono (LC), Italy.</w:t>
      </w:r>
    </w:p>
    <w:p w14:paraId="0C540347" w14:textId="7DD772CD" w:rsidR="00620C55" w:rsidRPr="009E1CED" w:rsidRDefault="00620C55" w:rsidP="00620C55">
      <w:pPr>
        <w:rPr>
          <w:rFonts w:ascii="Arial" w:hAnsi="Arial" w:cs="Arial"/>
          <w:b/>
          <w:bCs/>
          <w:sz w:val="20"/>
          <w:szCs w:val="20"/>
        </w:rPr>
      </w:pPr>
      <w:r w:rsidRPr="009E1CED">
        <w:rPr>
          <w:rFonts w:ascii="Arial" w:hAnsi="Arial" w:cs="Arial"/>
          <w:b/>
          <w:bCs/>
          <w:sz w:val="20"/>
          <w:szCs w:val="20"/>
        </w:rPr>
        <w:t xml:space="preserve">Introduction </w:t>
      </w:r>
    </w:p>
    <w:p w14:paraId="0E0E729E" w14:textId="77777777" w:rsidR="00620C55" w:rsidRPr="009E1CED" w:rsidRDefault="00620C55" w:rsidP="00620C55">
      <w:pPr>
        <w:jc w:val="both"/>
        <w:rPr>
          <w:rFonts w:ascii="Arial" w:hAnsi="Arial" w:cs="Arial"/>
          <w:color w:val="000000"/>
          <w:sz w:val="20"/>
          <w:szCs w:val="20"/>
        </w:rPr>
      </w:pPr>
      <w:r w:rsidRPr="009E1CED">
        <w:rPr>
          <w:rFonts w:ascii="Arial" w:hAnsi="Arial" w:cs="Arial"/>
          <w:color w:val="000000"/>
          <w:sz w:val="20"/>
          <w:szCs w:val="20"/>
        </w:rPr>
        <w:t xml:space="preserve">The present generation of Pressurized Metered Dose Inhalers (pMDIs) uses HFA propellants, which are potent greenhouse gases. As a result, research is currently being done to find propellants with a low Global Warming Potential (GWP) in an effort to reduce the carbon footprint </w:t>
      </w:r>
      <w:sdt>
        <w:sdtPr>
          <w:rPr>
            <w:rFonts w:ascii="Arial" w:hAnsi="Arial" w:cs="Arial"/>
            <w:color w:val="000000"/>
            <w:sz w:val="20"/>
            <w:szCs w:val="20"/>
            <w:vertAlign w:val="superscript"/>
          </w:rPr>
          <w:tag w:val="MENDELEY_CITATION_v3_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"/>
          <w:id w:val="1819844806"/>
          <w:placeholder>
            <w:docPart w:val="1761A648E426944A8CE891063147E53E"/>
          </w:placeholder>
        </w:sdtPr>
        <w:sdtContent>
          <w:r w:rsidRPr="009E1CED">
            <w:rPr>
              <w:rFonts w:ascii="Arial" w:hAnsi="Arial" w:cs="Arial"/>
              <w:color w:val="000000"/>
              <w:sz w:val="20"/>
              <w:szCs w:val="20"/>
              <w:vertAlign w:val="superscript"/>
            </w:rPr>
            <w:t>1</w:t>
          </w:r>
        </w:sdtContent>
      </w:sdt>
      <w:r w:rsidRPr="009E1CED">
        <w:rPr>
          <w:rFonts w:ascii="Arial" w:hAnsi="Arial" w:cs="Arial"/>
          <w:color w:val="000000"/>
          <w:sz w:val="20"/>
          <w:szCs w:val="20"/>
        </w:rPr>
        <w:t xml:space="preserve">. In comparison to HFA134a (1300) and HFA227a (3350), one of these new propellants, HFA152a (coded as Zephex®), has a significantly lower environmental GWP of 124. </w:t>
      </w:r>
    </w:p>
    <w:p w14:paraId="21010FB6" w14:textId="4D5C2D2A" w:rsidR="00620C55" w:rsidRPr="009E1CED" w:rsidRDefault="00620C55" w:rsidP="00620C55">
      <w:pPr>
        <w:jc w:val="both"/>
        <w:rPr>
          <w:rFonts w:ascii="Arial" w:hAnsi="Arial" w:cs="Arial"/>
          <w:color w:val="000000" w:themeColor="text1"/>
          <w:sz w:val="20"/>
          <w:szCs w:val="20"/>
        </w:rPr>
      </w:pPr>
      <w:r w:rsidRPr="009E1CED">
        <w:rPr>
          <w:rFonts w:ascii="Arial" w:hAnsi="Arial" w:cs="Arial"/>
          <w:color w:val="000000" w:themeColor="text1"/>
          <w:sz w:val="20"/>
          <w:szCs w:val="20"/>
        </w:rPr>
        <w:t xml:space="preserve">The aim of this project was to develop a pMDI product containing beclomethasone dipropionate (BDP) at a dose of 100 µg/actuation using HFA152a. Ethanol was added as a co-solvent to obtain an HFA-solution formulation and a DoE was employed to assess the effect of formulation composition and hardware components (orifice diameter and valve volume) on the product quality. </w:t>
      </w:r>
    </w:p>
    <w:p w14:paraId="4C0AE36E" w14:textId="77FC5805" w:rsidR="00620C55" w:rsidRPr="009E1CED" w:rsidRDefault="00620C55" w:rsidP="00620C55">
      <w:pPr>
        <w:jc w:val="both"/>
        <w:rPr>
          <w:rFonts w:ascii="Arial" w:hAnsi="Arial" w:cs="Arial"/>
          <w:b/>
          <w:bCs/>
          <w:sz w:val="20"/>
          <w:szCs w:val="20"/>
        </w:rPr>
      </w:pPr>
      <w:r w:rsidRPr="009E1CED">
        <w:rPr>
          <w:rFonts w:ascii="Arial" w:hAnsi="Arial" w:cs="Arial"/>
          <w:b/>
          <w:bCs/>
          <w:sz w:val="20"/>
          <w:szCs w:val="20"/>
        </w:rPr>
        <w:t>Experimental Methods</w:t>
      </w:r>
    </w:p>
    <w:p w14:paraId="58C3DF75" w14:textId="77777777" w:rsidR="00620C55" w:rsidRPr="009E1CED" w:rsidRDefault="00620C55" w:rsidP="00620C55">
      <w:pPr>
        <w:jc w:val="both"/>
        <w:rPr>
          <w:rFonts w:ascii="Arial" w:hAnsi="Arial" w:cs="Arial"/>
          <w:color w:val="000000" w:themeColor="text1"/>
          <w:sz w:val="20"/>
          <w:szCs w:val="20"/>
        </w:rPr>
      </w:pPr>
      <w:r w:rsidRPr="009E1CED">
        <w:rPr>
          <w:rFonts w:ascii="Arial" w:hAnsi="Arial" w:cs="Arial"/>
          <w:color w:val="000000" w:themeColor="text1"/>
          <w:sz w:val="20"/>
          <w:szCs w:val="20"/>
        </w:rPr>
        <w:t>For the preparation of BDP pMDIs, 19 ml uncoated aluminium canisters from PressTeck (IT) were used, and they were equipped with KHFA metering valves and actuators made and supplied by RxPack s.r.l (IT).</w:t>
      </w:r>
    </w:p>
    <w:p w14:paraId="2633B19C" w14:textId="26C99F72" w:rsidR="00620C55" w:rsidRPr="009E1CED" w:rsidRDefault="00620C55" w:rsidP="00620C55">
      <w:pPr>
        <w:jc w:val="both"/>
        <w:rPr>
          <w:rFonts w:ascii="Arial" w:hAnsi="Arial" w:cs="Arial"/>
          <w:color w:val="000000" w:themeColor="text1"/>
          <w:sz w:val="20"/>
          <w:szCs w:val="20"/>
        </w:rPr>
      </w:pPr>
      <w:r w:rsidRPr="009E1CED">
        <w:rPr>
          <w:rFonts w:ascii="Arial" w:hAnsi="Arial" w:cs="Arial"/>
          <w:color w:val="000000" w:themeColor="text1"/>
          <w:sz w:val="20"/>
          <w:szCs w:val="20"/>
        </w:rPr>
        <w:t xml:space="preserve">The effect of </w:t>
      </w:r>
      <w:r w:rsidRPr="009E1CED">
        <w:rPr>
          <w:rFonts w:ascii="Arial" w:hAnsi="Arial" w:cs="Arial"/>
          <w:b/>
          <w:bCs/>
          <w:color w:val="000000" w:themeColor="text1"/>
          <w:sz w:val="20"/>
          <w:szCs w:val="20"/>
        </w:rPr>
        <w:t>critical material attributes (CMAs),</w:t>
      </w:r>
      <w:r w:rsidRPr="009E1CED">
        <w:rPr>
          <w:rFonts w:ascii="Arial" w:hAnsi="Arial" w:cs="Arial"/>
          <w:color w:val="000000" w:themeColor="text1"/>
          <w:sz w:val="20"/>
          <w:szCs w:val="20"/>
        </w:rPr>
        <w:t xml:space="preserve"> such as ethanol content, valve volume, and actuator orifice diameter, on the </w:t>
      </w:r>
      <w:r w:rsidRPr="009E1CED">
        <w:rPr>
          <w:rFonts w:ascii="Arial" w:hAnsi="Arial" w:cs="Arial"/>
          <w:b/>
          <w:bCs/>
          <w:color w:val="000000" w:themeColor="text1"/>
          <w:sz w:val="20"/>
          <w:szCs w:val="20"/>
        </w:rPr>
        <w:t>critical quality attributes</w:t>
      </w:r>
      <w:r w:rsidRPr="009E1CED">
        <w:rPr>
          <w:rFonts w:ascii="Arial" w:hAnsi="Arial" w:cs="Arial"/>
          <w:color w:val="000000" w:themeColor="text1"/>
          <w:sz w:val="20"/>
          <w:szCs w:val="20"/>
        </w:rPr>
        <w:t xml:space="preserve"> of the products in terms of Emitted Dose (ED), Coefficient of Variation (CV), and Fine Particle Fraction (FPF), was examined using an experimental full factorial design. </w:t>
      </w:r>
      <w:r w:rsidRPr="009E1CED">
        <w:rPr>
          <w:rFonts w:ascii="Arial" w:hAnsi="Arial" w:cs="Arial"/>
          <w:b/>
          <w:bCs/>
          <w:sz w:val="20"/>
          <w:szCs w:val="20"/>
        </w:rPr>
        <w:t>Table 1</w:t>
      </w:r>
      <w:r w:rsidRPr="009E1CED">
        <w:rPr>
          <w:rFonts w:ascii="Arial" w:hAnsi="Arial" w:cs="Arial"/>
          <w:sz w:val="20"/>
          <w:szCs w:val="20"/>
        </w:rPr>
        <w:t xml:space="preserve"> shows the CMAs at the two levels investigated. </w:t>
      </w:r>
    </w:p>
    <w:tbl>
      <w:tblPr>
        <w:tblStyle w:val="TableGrid"/>
        <w:tblpPr w:leftFromText="180" w:rightFromText="180" w:vertAnchor="text" w:horzAnchor="margin" w:tblpY="283"/>
        <w:tblW w:w="9776" w:type="dxa"/>
        <w:tblLook w:val="04A0" w:firstRow="1" w:lastRow="0" w:firstColumn="1" w:lastColumn="0" w:noHBand="0" w:noVBand="1"/>
      </w:tblPr>
      <w:tblGrid>
        <w:gridCol w:w="4924"/>
        <w:gridCol w:w="4852"/>
      </w:tblGrid>
      <w:tr w:rsidR="00620C55" w:rsidRPr="009E1CED" w14:paraId="5D610246" w14:textId="77777777" w:rsidTr="00A313DF">
        <w:trPr>
          <w:trHeight w:val="274"/>
        </w:trPr>
        <w:tc>
          <w:tcPr>
            <w:tcW w:w="4924" w:type="dxa"/>
            <w:vAlign w:val="center"/>
          </w:tcPr>
          <w:p w14:paraId="2831663F" w14:textId="77777777" w:rsidR="00620C55" w:rsidRPr="009E1CED" w:rsidRDefault="00620C55" w:rsidP="00A313DF">
            <w:pPr>
              <w:spacing w:line="276" w:lineRule="auto"/>
              <w:jc w:val="center"/>
              <w:rPr>
                <w:rFonts w:ascii="Arial" w:hAnsi="Arial" w:cs="Arial"/>
                <w:b/>
                <w:bCs/>
                <w:color w:val="000000" w:themeColor="text1"/>
                <w:sz w:val="20"/>
                <w:szCs w:val="20"/>
              </w:rPr>
            </w:pPr>
            <w:r w:rsidRPr="009E1CED">
              <w:rPr>
                <w:rFonts w:ascii="Arial" w:hAnsi="Arial" w:cs="Arial"/>
                <w:b/>
                <w:bCs/>
                <w:color w:val="000000" w:themeColor="text1"/>
                <w:sz w:val="20"/>
                <w:szCs w:val="20"/>
              </w:rPr>
              <w:t>Factors</w:t>
            </w:r>
          </w:p>
        </w:tc>
        <w:tc>
          <w:tcPr>
            <w:tcW w:w="4852" w:type="dxa"/>
            <w:vAlign w:val="center"/>
          </w:tcPr>
          <w:p w14:paraId="0A2C37B0" w14:textId="77777777" w:rsidR="00620C55" w:rsidRPr="009E1CED" w:rsidRDefault="00620C55" w:rsidP="00A313DF">
            <w:pPr>
              <w:spacing w:line="276" w:lineRule="auto"/>
              <w:jc w:val="center"/>
              <w:rPr>
                <w:rFonts w:ascii="Arial" w:hAnsi="Arial" w:cs="Arial"/>
                <w:b/>
                <w:bCs/>
                <w:color w:val="000000" w:themeColor="text1"/>
                <w:sz w:val="20"/>
                <w:szCs w:val="20"/>
              </w:rPr>
            </w:pPr>
            <w:r w:rsidRPr="009E1CED">
              <w:rPr>
                <w:rFonts w:ascii="Arial" w:hAnsi="Arial" w:cs="Arial"/>
                <w:b/>
                <w:bCs/>
                <w:color w:val="000000" w:themeColor="text1"/>
                <w:sz w:val="20"/>
                <w:szCs w:val="20"/>
              </w:rPr>
              <w:t>Levels investigated</w:t>
            </w:r>
          </w:p>
        </w:tc>
      </w:tr>
      <w:tr w:rsidR="00620C55" w:rsidRPr="009E1CED" w14:paraId="3F6892E6" w14:textId="77777777" w:rsidTr="00A313DF">
        <w:trPr>
          <w:trHeight w:val="266"/>
        </w:trPr>
        <w:tc>
          <w:tcPr>
            <w:tcW w:w="4924" w:type="dxa"/>
            <w:vAlign w:val="center"/>
          </w:tcPr>
          <w:p w14:paraId="6DA11F21"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Ethanol Content (% w/w)</w:t>
            </w:r>
          </w:p>
        </w:tc>
        <w:tc>
          <w:tcPr>
            <w:tcW w:w="4852" w:type="dxa"/>
            <w:vAlign w:val="center"/>
          </w:tcPr>
          <w:p w14:paraId="59341DD0"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8 – 12</w:t>
            </w:r>
          </w:p>
        </w:tc>
      </w:tr>
      <w:tr w:rsidR="00620C55" w:rsidRPr="009E1CED" w14:paraId="3B4047C7" w14:textId="77777777" w:rsidTr="00A313DF">
        <w:trPr>
          <w:trHeight w:val="67"/>
        </w:trPr>
        <w:tc>
          <w:tcPr>
            <w:tcW w:w="4924" w:type="dxa"/>
            <w:vAlign w:val="center"/>
          </w:tcPr>
          <w:p w14:paraId="29D84F55"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Volume of the Valve (µl)</w:t>
            </w:r>
          </w:p>
        </w:tc>
        <w:tc>
          <w:tcPr>
            <w:tcW w:w="4852" w:type="dxa"/>
            <w:vAlign w:val="center"/>
          </w:tcPr>
          <w:p w14:paraId="6A68382F"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50 – 63</w:t>
            </w:r>
          </w:p>
        </w:tc>
      </w:tr>
      <w:tr w:rsidR="00620C55" w:rsidRPr="009E1CED" w14:paraId="391CA993" w14:textId="77777777" w:rsidTr="00A313DF">
        <w:trPr>
          <w:trHeight w:val="161"/>
        </w:trPr>
        <w:tc>
          <w:tcPr>
            <w:tcW w:w="4924" w:type="dxa"/>
            <w:vAlign w:val="center"/>
          </w:tcPr>
          <w:p w14:paraId="2C0E7BEE"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Actuator Orifice Diameter (mm)</w:t>
            </w:r>
          </w:p>
        </w:tc>
        <w:tc>
          <w:tcPr>
            <w:tcW w:w="4852" w:type="dxa"/>
            <w:vAlign w:val="center"/>
          </w:tcPr>
          <w:p w14:paraId="42B51CBF" w14:textId="77777777" w:rsidR="00620C55" w:rsidRPr="009E1CED" w:rsidRDefault="00620C55" w:rsidP="00A313DF">
            <w:pPr>
              <w:spacing w:line="276" w:lineRule="auto"/>
              <w:jc w:val="center"/>
              <w:rPr>
                <w:rFonts w:ascii="Arial" w:hAnsi="Arial" w:cs="Arial"/>
                <w:color w:val="000000" w:themeColor="text1"/>
                <w:sz w:val="20"/>
                <w:szCs w:val="20"/>
              </w:rPr>
            </w:pPr>
            <w:r w:rsidRPr="009E1CED">
              <w:rPr>
                <w:rFonts w:ascii="Arial" w:hAnsi="Arial" w:cs="Arial"/>
                <w:color w:val="000000" w:themeColor="text1"/>
                <w:sz w:val="20"/>
                <w:szCs w:val="20"/>
              </w:rPr>
              <w:t>0.25 – 0.3</w:t>
            </w:r>
          </w:p>
        </w:tc>
      </w:tr>
    </w:tbl>
    <w:p w14:paraId="1BA22C3E" w14:textId="77777777" w:rsidR="00620C55" w:rsidRPr="009E1CED" w:rsidRDefault="00620C55" w:rsidP="00620C55">
      <w:pPr>
        <w:spacing w:line="276" w:lineRule="auto"/>
        <w:jc w:val="both"/>
        <w:rPr>
          <w:rFonts w:ascii="Arial" w:hAnsi="Arial" w:cs="Arial"/>
          <w:sz w:val="20"/>
          <w:szCs w:val="20"/>
        </w:rPr>
      </w:pPr>
      <w:r w:rsidRPr="009E1CED">
        <w:rPr>
          <w:rFonts w:ascii="Arial" w:hAnsi="Arial" w:cs="Arial"/>
          <w:b/>
          <w:bCs/>
          <w:sz w:val="20"/>
          <w:szCs w:val="20"/>
        </w:rPr>
        <w:t>Table 1</w:t>
      </w:r>
      <w:r w:rsidRPr="009E1CED">
        <w:rPr>
          <w:rFonts w:ascii="Arial" w:hAnsi="Arial" w:cs="Arial"/>
          <w:sz w:val="20"/>
          <w:szCs w:val="20"/>
        </w:rPr>
        <w:t>: CMAs and level investigated for the determination of the lead product</w:t>
      </w:r>
    </w:p>
    <w:p w14:paraId="37881712" w14:textId="77777777" w:rsidR="00620C55" w:rsidRPr="009E1CED" w:rsidRDefault="00620C55" w:rsidP="00620C55">
      <w:pPr>
        <w:jc w:val="both"/>
        <w:rPr>
          <w:rFonts w:ascii="Arial" w:hAnsi="Arial" w:cs="Arial"/>
          <w:sz w:val="20"/>
          <w:szCs w:val="20"/>
        </w:rPr>
      </w:pPr>
    </w:p>
    <w:p w14:paraId="7AE9F17D" w14:textId="77777777" w:rsidR="00620C55" w:rsidRPr="009E1CED" w:rsidRDefault="00620C55" w:rsidP="00620C55">
      <w:pPr>
        <w:jc w:val="both"/>
        <w:rPr>
          <w:rFonts w:ascii="Arial" w:hAnsi="Arial" w:cs="Arial"/>
          <w:sz w:val="20"/>
          <w:szCs w:val="20"/>
        </w:rPr>
      </w:pPr>
      <w:r w:rsidRPr="009E1CED">
        <w:rPr>
          <w:rFonts w:ascii="Arial" w:hAnsi="Arial" w:cs="Arial"/>
          <w:sz w:val="20"/>
          <w:szCs w:val="20"/>
        </w:rPr>
        <w:t xml:space="preserve">The BDP ED test was carried out using a Unit Sampling Collecting Apparatus operated as specified in USP44 at flow rate of 28.3 L/min. The Next Generation Impactor (NGI) was operated at a flow rate of 30 L/min. For each experiment four shots were collected after can shaking. </w:t>
      </w:r>
    </w:p>
    <w:p w14:paraId="34CEAC59" w14:textId="7894AE67" w:rsidR="00620C55" w:rsidRPr="009E1CED" w:rsidRDefault="00620C55" w:rsidP="00620C55">
      <w:pPr>
        <w:jc w:val="both"/>
        <w:rPr>
          <w:rFonts w:ascii="Arial" w:hAnsi="Arial" w:cs="Arial"/>
          <w:sz w:val="20"/>
          <w:szCs w:val="20"/>
        </w:rPr>
      </w:pPr>
      <w:r w:rsidRPr="009E1CED">
        <w:rPr>
          <w:rFonts w:ascii="Arial" w:hAnsi="Arial" w:cs="Arial"/>
          <w:sz w:val="20"/>
          <w:szCs w:val="20"/>
        </w:rPr>
        <w:t>Initial and re-priming requirements for the inhalers was assessed by storing the canisters for 48h in three different orientations: upright, horizontal and upside down. Following a shake of the inhaler prior to each actuation, the first four doses at the beginning of the product's life were examined. After storing the inhalers for an additional 48 hours as mentioned above, the doses #5 to #7 were then collected.</w:t>
      </w:r>
    </w:p>
    <w:p w14:paraId="371D1877" w14:textId="7AF38F23" w:rsidR="00620C55" w:rsidRPr="009E1CED" w:rsidRDefault="00620C55" w:rsidP="00620C55">
      <w:pPr>
        <w:jc w:val="both"/>
        <w:rPr>
          <w:rFonts w:ascii="Arial" w:hAnsi="Arial" w:cs="Arial"/>
          <w:b/>
          <w:bCs/>
          <w:sz w:val="20"/>
          <w:szCs w:val="20"/>
        </w:rPr>
      </w:pPr>
      <w:r w:rsidRPr="009E1CED">
        <w:rPr>
          <w:rFonts w:ascii="Arial" w:hAnsi="Arial" w:cs="Arial"/>
          <w:b/>
          <w:bCs/>
          <w:sz w:val="20"/>
          <w:szCs w:val="20"/>
        </w:rPr>
        <w:t xml:space="preserve">Results and Discussion </w:t>
      </w:r>
    </w:p>
    <w:p w14:paraId="72406844" w14:textId="77777777"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color w:val="000000" w:themeColor="text1"/>
          <w:sz w:val="20"/>
          <w:szCs w:val="20"/>
        </w:rPr>
        <w:t xml:space="preserve">KHFA is an “open chamber” valve, the design of which prevents the loss of prime by ensuring that the metering chamber is fully filled before usage. The access channels of the formulation to the chamber are in fact sufficiently open, so that the formulation itself can easily remove and displace any vapor </w:t>
      </w:r>
      <w:r w:rsidRPr="009E1CED">
        <w:rPr>
          <w:rFonts w:ascii="Arial" w:hAnsi="Arial" w:cs="Arial"/>
          <w:color w:val="000000" w:themeColor="text1"/>
          <w:sz w:val="20"/>
          <w:szCs w:val="20"/>
        </w:rPr>
        <w:lastRenderedPageBreak/>
        <w:t xml:space="preserve">bubbles.  </w:t>
      </w:r>
      <w:r w:rsidRPr="009E1CED">
        <w:rPr>
          <w:rFonts w:ascii="Arial" w:hAnsi="Arial" w:cs="Arial"/>
          <w:color w:val="000000" w:themeColor="text1"/>
          <w:sz w:val="20"/>
          <w:szCs w:val="20"/>
          <w:lang w:val="en-US"/>
        </w:rPr>
        <w:t xml:space="preserve">None of the critical factors investigated showed significance on the BDP ED values (Model p-value = 0.735) which ranged between 75 – 98 µg. Furthermore, all ten doses analyzed fell within the limits required by the PhEur. However, the CV values of the eight products varied between 2.5% and 15.7%, thus indicating different dispersion of doses within the range. </w:t>
      </w:r>
      <w:r w:rsidRPr="009E1CED">
        <w:rPr>
          <w:rFonts w:ascii="Arial" w:hAnsi="Arial" w:cs="Arial"/>
          <w:b/>
          <w:bCs/>
          <w:color w:val="000000" w:themeColor="text1"/>
          <w:sz w:val="20"/>
          <w:szCs w:val="20"/>
          <w:lang w:val="en-US"/>
        </w:rPr>
        <w:t>Figure 1a</w:t>
      </w:r>
      <w:r w:rsidRPr="009E1CED">
        <w:rPr>
          <w:rFonts w:ascii="Arial" w:hAnsi="Arial" w:cs="Arial"/>
          <w:color w:val="000000" w:themeColor="text1"/>
          <w:sz w:val="20"/>
          <w:szCs w:val="20"/>
          <w:lang w:val="en-US"/>
        </w:rPr>
        <w:t xml:space="preserve"> illustrates, by way of example, the trend of two products with high and low precision of the BDP ED values. </w:t>
      </w:r>
      <w:r w:rsidRPr="009E1CED">
        <w:rPr>
          <w:rFonts w:ascii="Arial" w:hAnsi="Arial" w:cs="Arial"/>
          <w:b/>
          <w:bCs/>
          <w:color w:val="000000" w:themeColor="text1"/>
          <w:sz w:val="20"/>
          <w:szCs w:val="20"/>
          <w:lang w:val="en-US"/>
        </w:rPr>
        <w:t>Figure 1b</w:t>
      </w:r>
      <w:r w:rsidRPr="009E1CED">
        <w:rPr>
          <w:rFonts w:ascii="Arial" w:hAnsi="Arial" w:cs="Arial"/>
          <w:color w:val="000000" w:themeColor="text1"/>
          <w:sz w:val="20"/>
          <w:szCs w:val="20"/>
          <w:lang w:val="en-US"/>
        </w:rPr>
        <w:t xml:space="preserve"> illustrates KHFA valve.</w:t>
      </w:r>
    </w:p>
    <w:p w14:paraId="2BECED25" w14:textId="77777777" w:rsidR="00620C55" w:rsidRPr="009E1CED" w:rsidRDefault="00620C55" w:rsidP="00620C55">
      <w:pPr>
        <w:jc w:val="center"/>
        <w:rPr>
          <w:rFonts w:ascii="Arial" w:hAnsi="Arial" w:cs="Arial"/>
          <w:sz w:val="20"/>
          <w:szCs w:val="20"/>
          <w:lang w:val="en-US"/>
        </w:rPr>
      </w:pPr>
      <w:r w:rsidRPr="009E1CED">
        <w:rPr>
          <w:rFonts w:ascii="Arial" w:hAnsi="Arial" w:cs="Arial"/>
          <w:noProof/>
          <w:color w:val="000000" w:themeColor="text1"/>
          <w:sz w:val="20"/>
          <w:szCs w:val="20"/>
          <w:lang w:val="en-US"/>
        </w:rPr>
        <w:drawing>
          <wp:inline distT="0" distB="0" distL="0" distR="0" wp14:anchorId="59D04746" wp14:editId="264B2A83">
            <wp:extent cx="3408566" cy="967798"/>
            <wp:effectExtent l="0" t="0" r="0" b="0"/>
            <wp:docPr id="1115003681" name="Picture 11150036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hart, line chart&#10;&#10;Description automatically generated"/>
                    <pic:cNvPicPr/>
                  </pic:nvPicPr>
                  <pic:blipFill>
                    <a:blip r:embed="rId11"/>
                    <a:stretch>
                      <a:fillRect/>
                    </a:stretch>
                  </pic:blipFill>
                  <pic:spPr>
                    <a:xfrm>
                      <a:off x="0" y="0"/>
                      <a:ext cx="3879332" cy="1101463"/>
                    </a:xfrm>
                    <a:prstGeom prst="rect">
                      <a:avLst/>
                    </a:prstGeom>
                  </pic:spPr>
                </pic:pic>
              </a:graphicData>
            </a:graphic>
          </wp:inline>
        </w:drawing>
      </w:r>
      <w:r w:rsidRPr="009E1CED">
        <w:rPr>
          <w:rFonts w:ascii="Arial" w:hAnsi="Arial" w:cs="Arial"/>
          <w:noProof/>
          <w:sz w:val="20"/>
          <w:szCs w:val="20"/>
          <w:lang w:val="en-US"/>
        </w:rPr>
        <w:drawing>
          <wp:inline distT="0" distB="0" distL="0" distR="0" wp14:anchorId="2CAAB484" wp14:editId="2BDBE606">
            <wp:extent cx="1173480" cy="1051238"/>
            <wp:effectExtent l="0" t="0" r="0" b="3175"/>
            <wp:docPr id="5" name="Immagine 5" descr="A picture containing LE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A picture containing LE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1266" cy="1085088"/>
                    </a:xfrm>
                    <a:prstGeom prst="rect">
                      <a:avLst/>
                    </a:prstGeom>
                  </pic:spPr>
                </pic:pic>
              </a:graphicData>
            </a:graphic>
          </wp:inline>
        </w:drawing>
      </w:r>
    </w:p>
    <w:p w14:paraId="629611EF" w14:textId="0D31BA36"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b/>
          <w:bCs/>
          <w:color w:val="000000" w:themeColor="text1"/>
          <w:sz w:val="20"/>
          <w:szCs w:val="20"/>
          <w:lang w:val="en-US"/>
        </w:rPr>
        <w:t>Figure 1a (on the left)</w:t>
      </w:r>
      <w:r w:rsidRPr="009E1CED">
        <w:rPr>
          <w:rFonts w:ascii="Arial" w:hAnsi="Arial" w:cs="Arial"/>
          <w:color w:val="000000" w:themeColor="text1"/>
          <w:sz w:val="20"/>
          <w:szCs w:val="20"/>
          <w:lang w:val="en-US"/>
        </w:rPr>
        <w:t xml:space="preserve">: Graphical representation of the BDP ED trend resulting from the combination of CMAs of two different product (Label claim 100 µg/shot). The yellow line represents the upper limit (125%), the orange one the lower limit (75%) of the mean value (grey line). </w:t>
      </w:r>
      <w:r w:rsidRPr="009E1CED">
        <w:rPr>
          <w:rFonts w:ascii="Arial" w:hAnsi="Arial" w:cs="Arial"/>
          <w:b/>
          <w:bCs/>
          <w:color w:val="000000" w:themeColor="text1"/>
          <w:sz w:val="20"/>
          <w:szCs w:val="20"/>
          <w:lang w:val="en-US"/>
        </w:rPr>
        <w:t>Figure 1b (on the right).</w:t>
      </w:r>
    </w:p>
    <w:p w14:paraId="323AFC14" w14:textId="77777777"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The ANOVA test confirmed that the investigated factors had a significant effect on the CV value (Model p-value=0.0311). The Pareto chart in </w:t>
      </w:r>
      <w:r w:rsidRPr="009E1CED">
        <w:rPr>
          <w:rFonts w:ascii="Arial" w:hAnsi="Arial" w:cs="Arial"/>
          <w:b/>
          <w:bCs/>
          <w:color w:val="000000" w:themeColor="text1"/>
          <w:sz w:val="20"/>
          <w:szCs w:val="20"/>
          <w:lang w:val="en-US"/>
        </w:rPr>
        <w:t>Figure 2</w:t>
      </w:r>
      <w:r w:rsidRPr="009E1CED">
        <w:rPr>
          <w:rFonts w:ascii="Arial" w:hAnsi="Arial" w:cs="Arial"/>
          <w:color w:val="000000" w:themeColor="text1"/>
          <w:sz w:val="20"/>
          <w:szCs w:val="20"/>
          <w:lang w:val="en-US"/>
        </w:rPr>
        <w:t xml:space="preserve"> shows the significance and type of effect (positive or negative) of the factors and their interaction on the CV of ED. From the chart it is possible to conclude that the precision of the ED decreased with increasing valve volume, actuator orifice diameter and ethanol content.</w:t>
      </w:r>
    </w:p>
    <w:p w14:paraId="1BE56794" w14:textId="77777777" w:rsidR="00620C55" w:rsidRPr="009E1CED" w:rsidRDefault="00620C55" w:rsidP="00620C55">
      <w:pPr>
        <w:jc w:val="both"/>
        <w:rPr>
          <w:rFonts w:ascii="Arial" w:hAnsi="Arial" w:cs="Arial"/>
          <w:sz w:val="20"/>
          <w:szCs w:val="20"/>
          <w:lang w:val="en-US"/>
        </w:rPr>
      </w:pPr>
      <w:r w:rsidRPr="009E1CED">
        <w:rPr>
          <w:rFonts w:ascii="Arial" w:hAnsi="Arial" w:cs="Arial"/>
          <w:noProof/>
          <w:color w:val="000000" w:themeColor="text1"/>
          <w:sz w:val="20"/>
          <w:szCs w:val="20"/>
          <w:lang w:val="en-US"/>
        </w:rPr>
        <w:drawing>
          <wp:anchor distT="0" distB="0" distL="114300" distR="114300" simplePos="0" relativeHeight="251662336" behindDoc="0" locked="0" layoutInCell="1" allowOverlap="1" wp14:anchorId="2E144541" wp14:editId="5AB1969E">
            <wp:simplePos x="0" y="0"/>
            <wp:positionH relativeFrom="column">
              <wp:posOffset>2041121</wp:posOffset>
            </wp:positionH>
            <wp:positionV relativeFrom="paragraph">
              <wp:posOffset>1196340</wp:posOffset>
            </wp:positionV>
            <wp:extent cx="1912568" cy="356841"/>
            <wp:effectExtent l="0" t="0" r="0" b="0"/>
            <wp:wrapNone/>
            <wp:docPr id="9" name="Immagine 9"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3" cstate="print">
                      <a:extLst>
                        <a:ext uri="{28A0092B-C50C-407E-A947-70E740481C1C}">
                          <a14:useLocalDpi xmlns:a14="http://schemas.microsoft.com/office/drawing/2010/main" val="0"/>
                        </a:ext>
                      </a:extLst>
                    </a:blip>
                    <a:srcRect t="83474"/>
                    <a:stretch/>
                  </pic:blipFill>
                  <pic:spPr bwMode="auto">
                    <a:xfrm>
                      <a:off x="0" y="0"/>
                      <a:ext cx="1912568" cy="356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1CED">
        <w:rPr>
          <w:rFonts w:ascii="Arial" w:hAnsi="Arial" w:cs="Arial"/>
          <w:noProof/>
          <w:color w:val="000000" w:themeColor="text1"/>
          <w:sz w:val="20"/>
          <w:szCs w:val="20"/>
          <w:lang w:val="en-US"/>
        </w:rPr>
        <w:drawing>
          <wp:inline distT="0" distB="0" distL="0" distR="0" wp14:anchorId="69EC1A97" wp14:editId="21C501FA">
            <wp:extent cx="1926965" cy="1816345"/>
            <wp:effectExtent l="0" t="0" r="3810" b="0"/>
            <wp:docPr id="2" name="Immagine 9" descr="Chart, 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9" descr="Chart, histo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b="16526"/>
                    <a:stretch/>
                  </pic:blipFill>
                  <pic:spPr bwMode="auto">
                    <a:xfrm>
                      <a:off x="0" y="0"/>
                      <a:ext cx="2013835" cy="1898228"/>
                    </a:xfrm>
                    <a:prstGeom prst="rect">
                      <a:avLst/>
                    </a:prstGeom>
                    <a:ln>
                      <a:noFill/>
                    </a:ln>
                    <a:extLst>
                      <a:ext uri="{53640926-AAD7-44D8-BBD7-CCE9431645EC}">
                        <a14:shadowObscured xmlns:a14="http://schemas.microsoft.com/office/drawing/2010/main"/>
                      </a:ext>
                    </a:extLst>
                  </pic:spPr>
                </pic:pic>
              </a:graphicData>
            </a:graphic>
          </wp:inline>
        </w:drawing>
      </w:r>
    </w:p>
    <w:p w14:paraId="4AC36A36" w14:textId="77777777" w:rsidR="00620C55" w:rsidRPr="009E1CED" w:rsidRDefault="00620C55" w:rsidP="00620C55">
      <w:pPr>
        <w:jc w:val="both"/>
        <w:rPr>
          <w:rFonts w:ascii="Arial" w:hAnsi="Arial" w:cs="Arial"/>
          <w:sz w:val="20"/>
          <w:szCs w:val="20"/>
          <w:lang w:val="en-US"/>
        </w:rPr>
      </w:pPr>
    </w:p>
    <w:p w14:paraId="1EBCA3D2" w14:textId="47C153BA"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b/>
          <w:bCs/>
          <w:color w:val="000000" w:themeColor="text1"/>
          <w:sz w:val="20"/>
          <w:szCs w:val="20"/>
          <w:lang w:val="en-US"/>
        </w:rPr>
        <w:t>Figure 2</w:t>
      </w:r>
      <w:r w:rsidRPr="009E1CED">
        <w:rPr>
          <w:rFonts w:ascii="Arial" w:hAnsi="Arial" w:cs="Arial"/>
          <w:color w:val="000000" w:themeColor="text1"/>
          <w:sz w:val="20"/>
          <w:szCs w:val="20"/>
          <w:lang w:val="en-US"/>
        </w:rPr>
        <w:t>: Graphic representation of the pareto chart obtained by performing an ANOVA test to evaluate how the variation of the factors studied impacts on the ED CV%.</w:t>
      </w:r>
    </w:p>
    <w:p w14:paraId="0F8302EB" w14:textId="5EB5E38E"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Based in the above results a lead product consisting of 8% ethanol, 50 µl valve volume, and 0.25 mm orifice diameter was further characterized. The product showed an </w:t>
      </w:r>
      <w:r w:rsidRPr="009E1CED">
        <w:rPr>
          <w:rFonts w:ascii="Arial" w:hAnsi="Arial" w:cs="Arial"/>
          <w:i/>
          <w:iCs/>
          <w:color w:val="000000" w:themeColor="text1"/>
          <w:sz w:val="20"/>
          <w:szCs w:val="20"/>
          <w:lang w:val="en-US"/>
        </w:rPr>
        <w:t>in vitro</w:t>
      </w:r>
      <w:r w:rsidRPr="009E1CED">
        <w:rPr>
          <w:rFonts w:ascii="Arial" w:hAnsi="Arial" w:cs="Arial"/>
          <w:color w:val="000000" w:themeColor="text1"/>
          <w:sz w:val="20"/>
          <w:szCs w:val="20"/>
          <w:lang w:val="en-US"/>
        </w:rPr>
        <w:t xml:space="preserve"> respirability of FPF of 57% and a small MMAD of 1.1 µm (</w:t>
      </w:r>
      <w:r w:rsidRPr="009E1CED">
        <w:rPr>
          <w:rFonts w:ascii="Arial" w:hAnsi="Arial" w:cs="Arial"/>
          <w:b/>
          <w:bCs/>
          <w:color w:val="000000" w:themeColor="text1"/>
          <w:sz w:val="20"/>
          <w:szCs w:val="20"/>
          <w:lang w:val="en-US"/>
        </w:rPr>
        <w:t>Table 2</w:t>
      </w:r>
      <w:r w:rsidRPr="009E1CED">
        <w:rPr>
          <w:rFonts w:ascii="Arial" w:hAnsi="Arial" w:cs="Arial"/>
          <w:color w:val="000000" w:themeColor="text1"/>
          <w:sz w:val="20"/>
          <w:szCs w:val="20"/>
          <w:lang w:val="en-US"/>
        </w:rPr>
        <w:t xml:space="preserve">). Furthermore, the technique of creating a BDP solution and atomizing it with particular device characteristics results in an extra-fine formulation with potential for high peripheral deposition, as achieved for the formulation in HFA134a. The BDP_HFA152a lead product's aerodynamic profile is similar to that of the Clenilexx (or Qvar), where the FPF was 69% and the BPD MMAD was 1.22 µm </w:t>
      </w:r>
      <w:sdt>
        <w:sdtPr>
          <w:rPr>
            <w:rFonts w:ascii="Arial" w:hAnsi="Arial" w:cs="Arial"/>
            <w:color w:val="000000"/>
            <w:sz w:val="20"/>
            <w:szCs w:val="20"/>
            <w:vertAlign w:val="superscript"/>
            <w:lang w:val="en-US"/>
          </w:rPr>
          <w:tag w:val="MENDELEY_CITATION_v3_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"/>
          <w:id w:val="457758519"/>
          <w:placeholder>
            <w:docPart w:val="1761A648E426944A8CE891063147E53E"/>
          </w:placeholder>
        </w:sdtPr>
        <w:sdtContent>
          <w:r w:rsidRPr="009E1CED">
            <w:rPr>
              <w:rFonts w:ascii="Arial" w:hAnsi="Arial" w:cs="Arial"/>
              <w:color w:val="000000"/>
              <w:sz w:val="20"/>
              <w:szCs w:val="20"/>
              <w:vertAlign w:val="superscript"/>
              <w:lang w:val="en-US"/>
            </w:rPr>
            <w:t>2</w:t>
          </w:r>
        </w:sdtContent>
      </w:sdt>
      <w:r w:rsidRPr="009E1CED">
        <w:rPr>
          <w:rFonts w:ascii="Arial" w:hAnsi="Arial" w:cs="Arial"/>
          <w:color w:val="000000" w:themeColor="text1"/>
          <w:sz w:val="20"/>
          <w:szCs w:val="20"/>
          <w:lang w:val="en-US"/>
        </w:rPr>
        <w:t>.</w:t>
      </w:r>
    </w:p>
    <w:p w14:paraId="30139CFB" w14:textId="77777777"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b/>
          <w:bCs/>
          <w:color w:val="000000" w:themeColor="text1"/>
          <w:sz w:val="20"/>
          <w:szCs w:val="20"/>
          <w:lang w:val="en-US"/>
        </w:rPr>
        <w:t>Table 2</w:t>
      </w:r>
      <w:r w:rsidRPr="009E1CED">
        <w:rPr>
          <w:rFonts w:ascii="Arial" w:hAnsi="Arial" w:cs="Arial"/>
          <w:color w:val="000000" w:themeColor="text1"/>
          <w:sz w:val="20"/>
          <w:szCs w:val="20"/>
          <w:lang w:val="en-US"/>
        </w:rPr>
        <w:t xml:space="preserve">: Aerodynamic parameters obtained by carrying out the complete characterization of the BDP_HFA152a lead product, ethanol content 8%w/w, actuator orifice diameter 0.25 mm (n=3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st dev).</w:t>
      </w:r>
    </w:p>
    <w:p w14:paraId="7B7A1814" w14:textId="77777777" w:rsidR="00620C55" w:rsidRPr="009E1CED" w:rsidRDefault="00620C55" w:rsidP="00620C55">
      <w:pPr>
        <w:jc w:val="both"/>
        <w:rPr>
          <w:rFonts w:ascii="Arial" w:hAnsi="Arial" w:cs="Arial"/>
          <w:color w:val="000000" w:themeColor="text1"/>
          <w:sz w:val="20"/>
          <w:szCs w:val="20"/>
          <w:lang w:val="en-US"/>
        </w:rPr>
      </w:pPr>
    </w:p>
    <w:tbl>
      <w:tblPr>
        <w:tblStyle w:val="ListTable3-Accent5"/>
        <w:tblW w:w="9640" w:type="dxa"/>
        <w:tblLook w:val="04A0" w:firstRow="1" w:lastRow="0" w:firstColumn="1" w:lastColumn="0" w:noHBand="0" w:noVBand="1"/>
      </w:tblPr>
      <w:tblGrid>
        <w:gridCol w:w="1262"/>
        <w:gridCol w:w="1408"/>
        <w:gridCol w:w="1548"/>
        <w:gridCol w:w="1407"/>
        <w:gridCol w:w="1548"/>
        <w:gridCol w:w="1407"/>
        <w:gridCol w:w="1060"/>
      </w:tblGrid>
      <w:tr w:rsidR="00620C55" w:rsidRPr="009E1CED" w14:paraId="28CF1CEB" w14:textId="77777777" w:rsidTr="00A313DF">
        <w:trPr>
          <w:cnfStyle w:val="100000000000" w:firstRow="1" w:lastRow="0" w:firstColumn="0" w:lastColumn="0" w:oddVBand="0" w:evenVBand="0" w:oddHBand="0" w:evenHBand="0" w:firstRowFirstColumn="0" w:firstRowLastColumn="0" w:lastRowFirstColumn="0" w:lastRowLastColumn="0"/>
          <w:trHeight w:val="427"/>
        </w:trPr>
        <w:tc>
          <w:tcPr>
            <w:cnfStyle w:val="001000000100" w:firstRow="0" w:lastRow="0" w:firstColumn="1" w:lastColumn="0" w:oddVBand="0" w:evenVBand="0" w:oddHBand="0" w:evenHBand="0" w:firstRowFirstColumn="1"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5FAC1BC" w14:textId="77777777" w:rsidR="00620C55" w:rsidRPr="009E1CED" w:rsidRDefault="00620C55" w:rsidP="00A313DF">
            <w:pPr>
              <w:jc w:val="center"/>
              <w:rPr>
                <w:rFonts w:ascii="Arial" w:hAnsi="Arial" w:cs="Arial"/>
                <w:color w:val="000000" w:themeColor="text1"/>
                <w:sz w:val="20"/>
                <w:szCs w:val="20"/>
                <w:lang w:val="en-US"/>
              </w:rPr>
            </w:pPr>
            <w:r w:rsidRPr="009E1CED">
              <w:rPr>
                <w:rFonts w:ascii="Arial" w:hAnsi="Arial" w:cs="Arial"/>
                <w:color w:val="000000" w:themeColor="text1"/>
                <w:sz w:val="20"/>
                <w:szCs w:val="20"/>
                <w:lang w:val="en-US"/>
              </w:rPr>
              <w:t>Emitted Dose (µg)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4FE7168C"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en-US"/>
              </w:rPr>
            </w:pPr>
            <w:r w:rsidRPr="009E1CED">
              <w:rPr>
                <w:rFonts w:ascii="Arial" w:hAnsi="Arial" w:cs="Arial"/>
                <w:color w:val="000000" w:themeColor="text1"/>
                <w:sz w:val="20"/>
                <w:szCs w:val="20"/>
                <w:lang w:val="en-US"/>
              </w:rPr>
              <w:t>Fine Particle Mass (µg)</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F58DD1C"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en-US"/>
              </w:rPr>
            </w:pPr>
            <w:r w:rsidRPr="009E1CED">
              <w:rPr>
                <w:rFonts w:ascii="Arial" w:hAnsi="Arial" w:cs="Arial"/>
                <w:color w:val="000000" w:themeColor="text1"/>
                <w:sz w:val="20"/>
                <w:szCs w:val="20"/>
                <w:lang w:val="en-US"/>
              </w:rPr>
              <w:t>Fine Particle Fraction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3F277CB9"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Extra-Fine Particle Mass (µg)</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E8A14B"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Extra-Fine Particle Fraction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3F809D27"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en-US"/>
              </w:rPr>
            </w:pPr>
            <w:r w:rsidRPr="009E1CED">
              <w:rPr>
                <w:rFonts w:ascii="Arial" w:hAnsi="Arial" w:cs="Arial"/>
                <w:color w:val="000000" w:themeColor="text1"/>
                <w:sz w:val="20"/>
                <w:szCs w:val="20"/>
                <w:lang w:val="en-US"/>
              </w:rPr>
              <w:t>MMAD (µm)</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4419B204" w14:textId="77777777" w:rsidR="00620C55" w:rsidRPr="009E1CED" w:rsidRDefault="00620C55" w:rsidP="00A313D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en-US"/>
              </w:rPr>
            </w:pPr>
            <w:r w:rsidRPr="009E1CED">
              <w:rPr>
                <w:rFonts w:ascii="Arial" w:hAnsi="Arial" w:cs="Arial"/>
                <w:color w:val="000000" w:themeColor="text1"/>
                <w:sz w:val="20"/>
                <w:szCs w:val="20"/>
                <w:lang w:val="en-US"/>
              </w:rPr>
              <w:t>GSD</w:t>
            </w:r>
          </w:p>
        </w:tc>
      </w:tr>
      <w:tr w:rsidR="00620C55" w:rsidRPr="009E1CED" w14:paraId="0673A6E8" w14:textId="77777777" w:rsidTr="00A313D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C953891" w14:textId="77777777" w:rsidR="00620C55" w:rsidRPr="009E1CED" w:rsidRDefault="00620C55" w:rsidP="00A313DF">
            <w:pPr>
              <w:jc w:val="center"/>
              <w:rPr>
                <w:rFonts w:ascii="Arial" w:hAnsi="Arial" w:cs="Arial"/>
                <w:b w:val="0"/>
                <w:bCs w:val="0"/>
                <w:color w:val="000000" w:themeColor="text1"/>
                <w:sz w:val="20"/>
                <w:szCs w:val="20"/>
                <w:lang w:val="en-US"/>
              </w:rPr>
            </w:pPr>
            <w:r w:rsidRPr="009E1CED">
              <w:rPr>
                <w:rFonts w:ascii="Arial" w:hAnsi="Arial" w:cs="Arial"/>
                <w:b w:val="0"/>
                <w:bCs w:val="0"/>
                <w:color w:val="000000" w:themeColor="text1"/>
                <w:sz w:val="20"/>
                <w:szCs w:val="20"/>
                <w:lang w:val="en-US"/>
              </w:rPr>
              <w:lastRenderedPageBreak/>
              <w:t xml:space="preserve"> 80.5 </w:t>
            </w:r>
            <w:r w:rsidRPr="009E1CED">
              <w:rPr>
                <w:rFonts w:ascii="Arial" w:hAnsi="Arial" w:cs="Arial"/>
                <w:b w:val="0"/>
                <w:bCs w:val="0"/>
                <w:color w:val="000000" w:themeColor="text1"/>
                <w:sz w:val="20"/>
                <w:szCs w:val="20"/>
                <w:lang w:val="en-US"/>
              </w:rPr>
              <w:sym w:font="Symbol" w:char="F0B1"/>
            </w:r>
            <w:r w:rsidRPr="009E1CED">
              <w:rPr>
                <w:rFonts w:ascii="Arial" w:hAnsi="Arial" w:cs="Arial"/>
                <w:b w:val="0"/>
                <w:bCs w:val="0"/>
                <w:color w:val="000000" w:themeColor="text1"/>
                <w:sz w:val="20"/>
                <w:szCs w:val="20"/>
                <w:lang w:val="en-US"/>
              </w:rPr>
              <w:t xml:space="preserve"> 2.2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73A7DA4E"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45.8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5.3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96ED50E"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57.0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7.0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7BF03128"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37.0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4.4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89AB8C7"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46.2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5.6</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72AF7DD6"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1.11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0.12</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517B68E3" w14:textId="77777777" w:rsidR="00620C55" w:rsidRPr="009E1CED" w:rsidRDefault="00620C55" w:rsidP="00A313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9E1CED">
              <w:rPr>
                <w:rFonts w:ascii="Arial" w:hAnsi="Arial" w:cs="Arial"/>
                <w:color w:val="000000" w:themeColor="text1"/>
                <w:sz w:val="20"/>
                <w:szCs w:val="20"/>
                <w:lang w:val="en-US"/>
              </w:rPr>
              <w:t xml:space="preserve">1.7 </w:t>
            </w:r>
            <w:r w:rsidRPr="009E1CED">
              <w:rPr>
                <w:rFonts w:ascii="Arial" w:hAnsi="Arial" w:cs="Arial"/>
                <w:color w:val="000000" w:themeColor="text1"/>
                <w:sz w:val="20"/>
                <w:szCs w:val="20"/>
                <w:lang w:val="en-US"/>
              </w:rPr>
              <w:sym w:font="Symbol" w:char="F0B1"/>
            </w:r>
            <w:r w:rsidRPr="009E1CED">
              <w:rPr>
                <w:rFonts w:ascii="Arial" w:hAnsi="Arial" w:cs="Arial"/>
                <w:color w:val="000000" w:themeColor="text1"/>
                <w:sz w:val="20"/>
                <w:szCs w:val="20"/>
                <w:lang w:val="en-US"/>
              </w:rPr>
              <w:t xml:space="preserve"> 0.1</w:t>
            </w:r>
          </w:p>
        </w:tc>
      </w:tr>
    </w:tbl>
    <w:p w14:paraId="1DD6CEFA" w14:textId="77777777" w:rsidR="00620C55" w:rsidRPr="009E1CED" w:rsidRDefault="00620C55" w:rsidP="00620C55">
      <w:pPr>
        <w:jc w:val="both"/>
        <w:rPr>
          <w:rFonts w:ascii="Arial" w:hAnsi="Arial" w:cs="Arial"/>
          <w:color w:val="000000" w:themeColor="text1"/>
          <w:sz w:val="20"/>
          <w:szCs w:val="20"/>
          <w:lang w:val="en-US"/>
        </w:rPr>
      </w:pPr>
    </w:p>
    <w:p w14:paraId="54CF053E" w14:textId="77777777"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color w:val="000000" w:themeColor="text1"/>
          <w:sz w:val="20"/>
          <w:szCs w:val="20"/>
          <w:lang w:val="en-US"/>
        </w:rPr>
        <w:t>The initial priming and re-priming test showed that the dose of BDP delivered at the beginning of the product’s life fell within the specification range in all storage pMDI orientations analyzed, confirming the effectiveness of the “open chamber” design. BDP delivered doses #5, #6 and #7, collected 48 hours after the last use, showed that also in this case, no re-priming was necessary as the amount of drug delivered was around 80 µg regardless of the orientation of the inhaler during its storage (</w:t>
      </w:r>
      <w:r w:rsidRPr="009E1CED">
        <w:rPr>
          <w:rFonts w:ascii="Arial" w:hAnsi="Arial" w:cs="Arial"/>
          <w:b/>
          <w:bCs/>
          <w:color w:val="000000" w:themeColor="text1"/>
          <w:sz w:val="20"/>
          <w:szCs w:val="20"/>
          <w:lang w:val="en-US"/>
        </w:rPr>
        <w:t>Figure 3</w:t>
      </w:r>
      <w:r w:rsidRPr="009E1CED">
        <w:rPr>
          <w:rFonts w:ascii="Arial" w:hAnsi="Arial" w:cs="Arial"/>
          <w:color w:val="000000" w:themeColor="text1"/>
          <w:sz w:val="20"/>
          <w:szCs w:val="20"/>
          <w:lang w:val="en-US"/>
        </w:rPr>
        <w:t xml:space="preserve">). </w:t>
      </w:r>
    </w:p>
    <w:p w14:paraId="2508ECBF" w14:textId="77777777" w:rsidR="00620C55" w:rsidRPr="009E1CED" w:rsidRDefault="00620C55" w:rsidP="00620C55">
      <w:pPr>
        <w:jc w:val="both"/>
        <w:rPr>
          <w:rFonts w:ascii="Arial" w:hAnsi="Arial" w:cs="Arial"/>
          <w:color w:val="000000" w:themeColor="text1"/>
          <w:sz w:val="20"/>
          <w:szCs w:val="20"/>
          <w:lang w:val="en-US"/>
        </w:rPr>
      </w:pPr>
    </w:p>
    <w:p w14:paraId="626F3154" w14:textId="77777777" w:rsidR="00620C55" w:rsidRPr="009E1CED" w:rsidRDefault="00620C55" w:rsidP="00620C55">
      <w:pPr>
        <w:jc w:val="center"/>
        <w:rPr>
          <w:rFonts w:ascii="Arial" w:hAnsi="Arial" w:cs="Arial"/>
          <w:b/>
          <w:bCs/>
          <w:sz w:val="20"/>
          <w:szCs w:val="20"/>
          <w:lang w:val="en-US"/>
        </w:rPr>
      </w:pPr>
      <w:r w:rsidRPr="009E1CED">
        <w:rPr>
          <w:rFonts w:ascii="Arial" w:hAnsi="Arial" w:cs="Arial"/>
          <w:b/>
          <w:bCs/>
          <w:noProof/>
          <w:sz w:val="20"/>
          <w:szCs w:val="20"/>
        </w:rPr>
        <w:drawing>
          <wp:inline distT="0" distB="0" distL="0" distR="0" wp14:anchorId="1DE9959C" wp14:editId="251D4795">
            <wp:extent cx="5324030" cy="1092046"/>
            <wp:effectExtent l="0" t="0" r="0" b="635"/>
            <wp:docPr id="61" name="Immagine 60" descr="Immagine che contiene testo, linea, diagramma, Diagramma&#10;&#10;Descrizione generata automaticamente">
              <a:extLst xmlns:a="http://schemas.openxmlformats.org/drawingml/2006/main">
                <a:ext uri="{FF2B5EF4-FFF2-40B4-BE49-F238E27FC236}">
                  <a16:creationId xmlns:a16="http://schemas.microsoft.com/office/drawing/2014/main" id="{C42EBE88-0D01-E348-8FC0-E59071773017}"/>
                </a:ext>
              </a:extLst>
            </wp:docPr>
            <wp:cNvGraphicFramePr/>
            <a:graphic xmlns:a="http://schemas.openxmlformats.org/drawingml/2006/main">
              <a:graphicData uri="http://schemas.openxmlformats.org/drawingml/2006/picture">
                <pic:pic xmlns:pic="http://schemas.openxmlformats.org/drawingml/2006/picture">
                  <pic:nvPicPr>
                    <pic:cNvPr id="61" name="Immagine 60" descr="Immagine che contiene testo, linea, diagramma, Diagramma&#10;&#10;Descrizione generata automaticamente">
                      <a:extLst>
                        <a:ext uri="{FF2B5EF4-FFF2-40B4-BE49-F238E27FC236}">
                          <a16:creationId xmlns:a16="http://schemas.microsoft.com/office/drawing/2014/main" id="{C42EBE88-0D01-E348-8FC0-E59071773017}"/>
                        </a:ext>
                      </a:extLst>
                    </pic:cNvPr>
                    <pic:cNvPicPr/>
                  </pic:nvPicPr>
                  <pic:blipFill rotWithShape="1">
                    <a:blip r:embed="rId15"/>
                    <a:srcRect t="9404"/>
                    <a:stretch/>
                  </pic:blipFill>
                  <pic:spPr bwMode="auto">
                    <a:xfrm>
                      <a:off x="0" y="0"/>
                      <a:ext cx="5526829" cy="1133643"/>
                    </a:xfrm>
                    <a:prstGeom prst="rect">
                      <a:avLst/>
                    </a:prstGeom>
                    <a:ln>
                      <a:noFill/>
                    </a:ln>
                    <a:extLst>
                      <a:ext uri="{53640926-AAD7-44D8-BBD7-CCE9431645EC}">
                        <a14:shadowObscured xmlns:a14="http://schemas.microsoft.com/office/drawing/2010/main"/>
                      </a:ext>
                    </a:extLst>
                  </pic:spPr>
                </pic:pic>
              </a:graphicData>
            </a:graphic>
          </wp:inline>
        </w:drawing>
      </w:r>
    </w:p>
    <w:p w14:paraId="2B69A71A" w14:textId="3E15B362"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b/>
          <w:bCs/>
          <w:color w:val="000000" w:themeColor="text1"/>
          <w:sz w:val="20"/>
          <w:szCs w:val="20"/>
          <w:lang w:val="en-US"/>
        </w:rPr>
        <w:t>Figure 3</w:t>
      </w:r>
      <w:r w:rsidRPr="009E1CED">
        <w:rPr>
          <w:rFonts w:ascii="Arial" w:hAnsi="Arial" w:cs="Arial"/>
          <w:color w:val="000000" w:themeColor="text1"/>
          <w:sz w:val="20"/>
          <w:szCs w:val="20"/>
          <w:lang w:val="en-US"/>
        </w:rPr>
        <w:t>: BDP ED (%) after storage the MDI inhalers in three different orientations. The first 4 doses were collected at the beginning of the product life and the 5 to 7 doses after 48 hours storage.</w:t>
      </w:r>
    </w:p>
    <w:p w14:paraId="171D59DD" w14:textId="28A7BD10" w:rsidR="00620C55" w:rsidRPr="009E1CED" w:rsidRDefault="00620C55" w:rsidP="00620C55">
      <w:pPr>
        <w:jc w:val="both"/>
        <w:rPr>
          <w:rFonts w:ascii="Arial" w:hAnsi="Arial" w:cs="Arial"/>
          <w:b/>
          <w:bCs/>
          <w:color w:val="000000" w:themeColor="text1"/>
          <w:sz w:val="20"/>
          <w:szCs w:val="20"/>
          <w:lang w:val="en-US"/>
        </w:rPr>
      </w:pPr>
      <w:r w:rsidRPr="009E1CED">
        <w:rPr>
          <w:rFonts w:ascii="Arial" w:hAnsi="Arial" w:cs="Arial"/>
          <w:b/>
          <w:bCs/>
          <w:color w:val="000000" w:themeColor="text1"/>
          <w:sz w:val="20"/>
          <w:szCs w:val="20"/>
          <w:lang w:val="en-US"/>
        </w:rPr>
        <w:t>Conclusions</w:t>
      </w:r>
    </w:p>
    <w:p w14:paraId="02D952E2" w14:textId="3ABF3B41" w:rsidR="00620C55" w:rsidRPr="009E1CED" w:rsidRDefault="00620C55" w:rsidP="00620C55">
      <w:pPr>
        <w:jc w:val="both"/>
        <w:rPr>
          <w:rFonts w:ascii="Arial" w:hAnsi="Arial" w:cs="Arial"/>
          <w:color w:val="000000" w:themeColor="text1"/>
          <w:sz w:val="20"/>
          <w:szCs w:val="20"/>
          <w:lang w:val="en-US"/>
        </w:rPr>
      </w:pPr>
      <w:r w:rsidRPr="009E1CED">
        <w:rPr>
          <w:rFonts w:ascii="Arial" w:hAnsi="Arial" w:cs="Arial"/>
          <w:color w:val="000000" w:themeColor="text1"/>
          <w:sz w:val="20"/>
          <w:szCs w:val="20"/>
        </w:rPr>
        <w:t xml:space="preserve">The study illustrates that, by optimizing characteristics of the formulation and of the pMDI device components, it was possible to obtain a BDP product with high respirability (FPF = 67%) using HFA152a. The KHFA-RxPack 50 µl valve showed high precision in product delivery (CV 2.5%) with the advantage of not requiring an initial priming or re-priming. </w:t>
      </w:r>
      <w:r w:rsidRPr="009E1CED">
        <w:rPr>
          <w:rFonts w:ascii="Arial" w:hAnsi="Arial" w:cs="Arial"/>
          <w:color w:val="000000" w:themeColor="text1"/>
          <w:sz w:val="20"/>
          <w:szCs w:val="20"/>
          <w:lang w:val="en-US"/>
        </w:rPr>
        <w:t>Finally the inhalation of all doses avoids wasting the product, a poor sustainable action for the environment and for patient costs.</w:t>
      </w:r>
    </w:p>
    <w:p w14:paraId="3F2F806B" w14:textId="5550EE1A" w:rsidR="00620C55" w:rsidRPr="009E1CED" w:rsidRDefault="00620C55" w:rsidP="00620C55">
      <w:pPr>
        <w:jc w:val="both"/>
        <w:rPr>
          <w:rFonts w:ascii="Arial" w:hAnsi="Arial" w:cs="Arial"/>
          <w:b/>
          <w:bCs/>
          <w:color w:val="000000" w:themeColor="text1"/>
          <w:sz w:val="20"/>
          <w:szCs w:val="20"/>
          <w:lang w:val="en-US"/>
        </w:rPr>
      </w:pPr>
      <w:r w:rsidRPr="009E1CED">
        <w:rPr>
          <w:rFonts w:ascii="Arial" w:hAnsi="Arial" w:cs="Arial"/>
          <w:b/>
          <w:bCs/>
          <w:color w:val="000000" w:themeColor="text1"/>
          <w:sz w:val="20"/>
          <w:szCs w:val="20"/>
          <w:lang w:val="en-US"/>
        </w:rPr>
        <w:t xml:space="preserve">References </w:t>
      </w:r>
    </w:p>
    <w:sdt>
      <w:sdtPr>
        <w:rPr>
          <w:rFonts w:ascii="Arial" w:eastAsia="Times New Roman" w:hAnsi="Arial" w:cs="Arial"/>
          <w:sz w:val="20"/>
          <w:szCs w:val="20"/>
          <w:lang w:val="en-US"/>
        </w:rPr>
        <w:tag w:val="MENDELEY_BIBLIOGRAPHY"/>
        <w:id w:val="482274902"/>
        <w:placeholder>
          <w:docPart w:val="1761A648E426944A8CE891063147E53E"/>
        </w:placeholder>
      </w:sdtPr>
      <w:sdtContent>
        <w:p w14:paraId="1C5E5048" w14:textId="77777777" w:rsidR="00620C55" w:rsidRPr="009E1CED" w:rsidRDefault="00620C55" w:rsidP="00620C55">
          <w:pPr>
            <w:autoSpaceDE w:val="0"/>
            <w:autoSpaceDN w:val="0"/>
            <w:ind w:hanging="640"/>
            <w:rPr>
              <w:rFonts w:ascii="Arial" w:eastAsia="Times New Roman" w:hAnsi="Arial" w:cs="Arial"/>
              <w:sz w:val="20"/>
              <w:szCs w:val="20"/>
              <w:lang w:val="en-US"/>
            </w:rPr>
          </w:pPr>
          <w:r w:rsidRPr="009E1CED">
            <w:rPr>
              <w:rFonts w:ascii="Arial" w:eastAsia="Times New Roman" w:hAnsi="Arial" w:cs="Arial"/>
              <w:sz w:val="20"/>
              <w:szCs w:val="20"/>
              <w:lang w:val="en-US"/>
            </w:rPr>
            <w:t>1.</w:t>
          </w:r>
          <w:r w:rsidRPr="009E1CED">
            <w:rPr>
              <w:rFonts w:ascii="Arial" w:eastAsia="Times New Roman" w:hAnsi="Arial" w:cs="Arial"/>
              <w:sz w:val="20"/>
              <w:szCs w:val="20"/>
              <w:lang w:val="en-US"/>
            </w:rPr>
            <w:tab/>
            <w:t xml:space="preserve">Wilkinson, A. J. K. &amp; Anderson, G. </w:t>
          </w:r>
          <w:r w:rsidRPr="009E1CED">
            <w:rPr>
              <w:rFonts w:ascii="Arial" w:eastAsia="Times New Roman" w:hAnsi="Arial" w:cs="Arial"/>
              <w:i/>
              <w:iCs/>
              <w:sz w:val="20"/>
              <w:szCs w:val="20"/>
              <w:lang w:val="en-US"/>
            </w:rPr>
            <w:t>Pharmaceut Med</w:t>
          </w:r>
          <w:r w:rsidRPr="009E1CED">
            <w:rPr>
              <w:rFonts w:ascii="Arial" w:eastAsia="Times New Roman" w:hAnsi="Arial" w:cs="Arial"/>
              <w:sz w:val="20"/>
              <w:szCs w:val="20"/>
              <w:lang w:val="en-US"/>
            </w:rPr>
            <w:t xml:space="preserve"> </w:t>
          </w:r>
          <w:r w:rsidRPr="009E1CED">
            <w:rPr>
              <w:rFonts w:ascii="Arial" w:eastAsia="Times New Roman" w:hAnsi="Arial" w:cs="Arial"/>
              <w:b/>
              <w:bCs/>
              <w:sz w:val="20"/>
              <w:szCs w:val="20"/>
              <w:lang w:val="en-US"/>
            </w:rPr>
            <w:t>34</w:t>
          </w:r>
          <w:r w:rsidRPr="009E1CED">
            <w:rPr>
              <w:rFonts w:ascii="Arial" w:eastAsia="Times New Roman" w:hAnsi="Arial" w:cs="Arial"/>
              <w:sz w:val="20"/>
              <w:szCs w:val="20"/>
              <w:lang w:val="en-US"/>
            </w:rPr>
            <w:t>, 191–199 (2020).</w:t>
          </w:r>
        </w:p>
        <w:p w14:paraId="693A919A" w14:textId="77777777" w:rsidR="00620C55" w:rsidRPr="009E1CED" w:rsidRDefault="00620C55" w:rsidP="00620C55">
          <w:pPr>
            <w:autoSpaceDE w:val="0"/>
            <w:autoSpaceDN w:val="0"/>
            <w:ind w:hanging="640"/>
            <w:rPr>
              <w:rFonts w:ascii="Arial" w:eastAsia="Times New Roman" w:hAnsi="Arial" w:cs="Arial"/>
              <w:sz w:val="20"/>
              <w:szCs w:val="20"/>
              <w:lang w:val="fr-FR"/>
            </w:rPr>
          </w:pPr>
          <w:r w:rsidRPr="009E1CED">
            <w:rPr>
              <w:rFonts w:ascii="Arial" w:eastAsia="Times New Roman" w:hAnsi="Arial" w:cs="Arial"/>
              <w:sz w:val="20"/>
              <w:szCs w:val="20"/>
              <w:lang w:val="fr-FR"/>
            </w:rPr>
            <w:t>2.</w:t>
          </w:r>
          <w:r w:rsidRPr="009E1CED">
            <w:rPr>
              <w:rFonts w:ascii="Arial" w:eastAsia="Times New Roman" w:hAnsi="Arial" w:cs="Arial"/>
              <w:sz w:val="20"/>
              <w:szCs w:val="20"/>
              <w:lang w:val="fr-FR"/>
            </w:rPr>
            <w:tab/>
            <w:t xml:space="preserve">Buttini, F. </w:t>
          </w:r>
          <w:r w:rsidRPr="009E1CED">
            <w:rPr>
              <w:rFonts w:ascii="Arial" w:eastAsia="Times New Roman" w:hAnsi="Arial" w:cs="Arial"/>
              <w:i/>
              <w:iCs/>
              <w:sz w:val="20"/>
              <w:szCs w:val="20"/>
              <w:lang w:val="fr-FR"/>
            </w:rPr>
            <w:t>et al.</w:t>
          </w:r>
          <w:r w:rsidRPr="009E1CED">
            <w:rPr>
              <w:rFonts w:ascii="Arial" w:eastAsia="Times New Roman" w:hAnsi="Arial" w:cs="Arial"/>
              <w:sz w:val="20"/>
              <w:szCs w:val="20"/>
              <w:lang w:val="fr-FR"/>
            </w:rPr>
            <w:t xml:space="preserve"> </w:t>
          </w:r>
          <w:r w:rsidRPr="009E1CED">
            <w:rPr>
              <w:rFonts w:ascii="Arial" w:eastAsia="Times New Roman" w:hAnsi="Arial" w:cs="Arial"/>
              <w:i/>
              <w:iCs/>
              <w:sz w:val="20"/>
              <w:szCs w:val="20"/>
              <w:lang w:val="fr-FR"/>
            </w:rPr>
            <w:t>Int J Pharm</w:t>
          </w:r>
          <w:r w:rsidRPr="009E1CED">
            <w:rPr>
              <w:rFonts w:ascii="Arial" w:eastAsia="Times New Roman" w:hAnsi="Arial" w:cs="Arial"/>
              <w:sz w:val="20"/>
              <w:szCs w:val="20"/>
              <w:lang w:val="fr-FR"/>
            </w:rPr>
            <w:t xml:space="preserve"> </w:t>
          </w:r>
          <w:r w:rsidRPr="009E1CED">
            <w:rPr>
              <w:rFonts w:ascii="Arial" w:eastAsia="Times New Roman" w:hAnsi="Arial" w:cs="Arial"/>
              <w:b/>
              <w:bCs/>
              <w:sz w:val="20"/>
              <w:szCs w:val="20"/>
              <w:lang w:val="fr-FR"/>
            </w:rPr>
            <w:t>465</w:t>
          </w:r>
          <w:r w:rsidRPr="009E1CED">
            <w:rPr>
              <w:rFonts w:ascii="Arial" w:eastAsia="Times New Roman" w:hAnsi="Arial" w:cs="Arial"/>
              <w:sz w:val="20"/>
              <w:szCs w:val="20"/>
              <w:lang w:val="fr-FR"/>
            </w:rPr>
            <w:t>, 42–51 (2014).</w:t>
          </w:r>
        </w:p>
        <w:p w14:paraId="06F0AAAC" w14:textId="77777777" w:rsidR="00620C55" w:rsidRPr="009E1CED" w:rsidRDefault="00620C55" w:rsidP="00620C55">
          <w:pPr>
            <w:autoSpaceDE w:val="0"/>
            <w:autoSpaceDN w:val="0"/>
            <w:jc w:val="both"/>
            <w:rPr>
              <w:rFonts w:ascii="Arial" w:eastAsia="Times New Roman" w:hAnsi="Arial" w:cs="Arial"/>
              <w:sz w:val="20"/>
              <w:szCs w:val="20"/>
              <w:lang w:val="en-US"/>
            </w:rPr>
          </w:pPr>
          <w:r w:rsidRPr="009E1CED">
            <w:rPr>
              <w:rFonts w:ascii="Arial" w:eastAsia="Times New Roman" w:hAnsi="Arial" w:cs="Arial"/>
              <w:sz w:val="20"/>
              <w:szCs w:val="20"/>
              <w:lang w:val="fr-FR"/>
            </w:rPr>
            <w:t> </w:t>
          </w:r>
        </w:p>
      </w:sdtContent>
    </w:sdt>
    <w:p w14:paraId="310C79E3" w14:textId="77777777" w:rsidR="00620C55" w:rsidRPr="009E1CED" w:rsidRDefault="00620C55" w:rsidP="001F6FEE">
      <w:pPr>
        <w:jc w:val="both"/>
        <w:rPr>
          <w:rFonts w:ascii="Arial" w:hAnsi="Arial" w:cs="Arial"/>
          <w:b/>
          <w:bCs/>
          <w:sz w:val="20"/>
          <w:szCs w:val="20"/>
        </w:rPr>
      </w:pPr>
    </w:p>
    <w:p w14:paraId="6D0B41D6" w14:textId="77777777" w:rsidR="00620C55" w:rsidRPr="009E1CED" w:rsidRDefault="00620C55" w:rsidP="001F6FEE">
      <w:pPr>
        <w:jc w:val="both"/>
        <w:rPr>
          <w:rFonts w:ascii="Arial" w:hAnsi="Arial" w:cs="Arial"/>
          <w:b/>
          <w:bCs/>
          <w:sz w:val="20"/>
          <w:szCs w:val="20"/>
        </w:rPr>
      </w:pPr>
    </w:p>
    <w:p w14:paraId="14B02545" w14:textId="77777777" w:rsidR="00620C55" w:rsidRPr="009E1CED" w:rsidRDefault="00620C55" w:rsidP="001F6FEE">
      <w:pPr>
        <w:jc w:val="both"/>
        <w:rPr>
          <w:rFonts w:ascii="Arial" w:hAnsi="Arial" w:cs="Arial"/>
          <w:b/>
          <w:bCs/>
          <w:sz w:val="20"/>
          <w:szCs w:val="20"/>
        </w:rPr>
      </w:pPr>
    </w:p>
    <w:p w14:paraId="47CFFC07" w14:textId="77777777" w:rsidR="00E00C19" w:rsidRPr="009E1CED" w:rsidRDefault="00E00C19" w:rsidP="001F6FEE">
      <w:pPr>
        <w:jc w:val="both"/>
        <w:rPr>
          <w:rFonts w:ascii="Arial" w:hAnsi="Arial" w:cs="Arial"/>
          <w:b/>
          <w:bCs/>
          <w:sz w:val="20"/>
          <w:szCs w:val="20"/>
        </w:rPr>
      </w:pPr>
    </w:p>
    <w:p w14:paraId="75794AAE" w14:textId="77777777" w:rsidR="00E00C19" w:rsidRPr="009E1CED" w:rsidRDefault="00E00C19" w:rsidP="001F6FEE">
      <w:pPr>
        <w:jc w:val="both"/>
        <w:rPr>
          <w:rFonts w:ascii="Arial" w:hAnsi="Arial" w:cs="Arial"/>
          <w:b/>
          <w:bCs/>
          <w:sz w:val="20"/>
          <w:szCs w:val="20"/>
        </w:rPr>
      </w:pPr>
    </w:p>
    <w:p w14:paraId="4284FAB0" w14:textId="77777777" w:rsidR="00E00C19" w:rsidRPr="009E1CED" w:rsidRDefault="00E00C19" w:rsidP="001F6FEE">
      <w:pPr>
        <w:jc w:val="both"/>
        <w:rPr>
          <w:rFonts w:ascii="Arial" w:hAnsi="Arial" w:cs="Arial"/>
          <w:b/>
          <w:bCs/>
          <w:sz w:val="20"/>
          <w:szCs w:val="20"/>
        </w:rPr>
      </w:pPr>
    </w:p>
    <w:p w14:paraId="3606180C" w14:textId="77777777" w:rsidR="00E00C19" w:rsidRPr="009E1CED" w:rsidRDefault="00E00C19" w:rsidP="001F6FEE">
      <w:pPr>
        <w:jc w:val="both"/>
        <w:rPr>
          <w:rFonts w:ascii="Arial" w:hAnsi="Arial" w:cs="Arial"/>
          <w:b/>
          <w:bCs/>
          <w:sz w:val="20"/>
          <w:szCs w:val="20"/>
        </w:rPr>
      </w:pPr>
    </w:p>
    <w:p w14:paraId="6BA8F470" w14:textId="77777777" w:rsidR="00E00C19" w:rsidRPr="009E1CED" w:rsidRDefault="00E00C19" w:rsidP="001F6FEE">
      <w:pPr>
        <w:jc w:val="both"/>
        <w:rPr>
          <w:rFonts w:ascii="Arial" w:hAnsi="Arial" w:cs="Arial"/>
          <w:b/>
          <w:bCs/>
          <w:sz w:val="20"/>
          <w:szCs w:val="20"/>
        </w:rPr>
      </w:pPr>
    </w:p>
    <w:p w14:paraId="2CCD62FF" w14:textId="77777777" w:rsidR="00E00C19" w:rsidRPr="009E1CED" w:rsidRDefault="00E00C19" w:rsidP="001F6FEE">
      <w:pPr>
        <w:jc w:val="both"/>
        <w:rPr>
          <w:rFonts w:ascii="Arial" w:hAnsi="Arial" w:cs="Arial"/>
          <w:b/>
          <w:bCs/>
          <w:sz w:val="20"/>
          <w:szCs w:val="20"/>
        </w:rPr>
      </w:pPr>
    </w:p>
    <w:p w14:paraId="7A3B236F" w14:textId="77777777" w:rsidR="00E00C19" w:rsidRPr="009E1CED" w:rsidRDefault="00E00C19" w:rsidP="001F6FEE">
      <w:pPr>
        <w:jc w:val="both"/>
        <w:rPr>
          <w:rFonts w:ascii="Arial" w:hAnsi="Arial" w:cs="Arial"/>
          <w:b/>
          <w:bCs/>
          <w:sz w:val="20"/>
          <w:szCs w:val="20"/>
        </w:rPr>
      </w:pPr>
    </w:p>
    <w:p w14:paraId="17C95224" w14:textId="77777777" w:rsidR="00E00C19" w:rsidRPr="009E1CED" w:rsidRDefault="00E00C19" w:rsidP="001F6FEE">
      <w:pPr>
        <w:jc w:val="both"/>
        <w:rPr>
          <w:rFonts w:ascii="Arial" w:hAnsi="Arial" w:cs="Arial"/>
          <w:b/>
          <w:bCs/>
          <w:sz w:val="20"/>
          <w:szCs w:val="20"/>
        </w:rPr>
      </w:pPr>
    </w:p>
    <w:p w14:paraId="2080A97D" w14:textId="77777777" w:rsidR="00E00C19" w:rsidRPr="009E1CED" w:rsidRDefault="00E00C19" w:rsidP="001F6FEE">
      <w:pPr>
        <w:jc w:val="both"/>
        <w:rPr>
          <w:rFonts w:ascii="Arial" w:hAnsi="Arial" w:cs="Arial"/>
          <w:b/>
          <w:bCs/>
          <w:sz w:val="20"/>
          <w:szCs w:val="20"/>
        </w:rPr>
      </w:pPr>
    </w:p>
    <w:p w14:paraId="3A63C9DE" w14:textId="77777777" w:rsidR="00E00C19" w:rsidRPr="009E1CED" w:rsidRDefault="00E00C19" w:rsidP="001F6FEE">
      <w:pPr>
        <w:jc w:val="both"/>
        <w:rPr>
          <w:rFonts w:ascii="Arial" w:hAnsi="Arial" w:cs="Arial"/>
          <w:b/>
          <w:bCs/>
          <w:sz w:val="20"/>
          <w:szCs w:val="20"/>
        </w:rPr>
      </w:pPr>
    </w:p>
    <w:p w14:paraId="50C3724C" w14:textId="77777777" w:rsidR="00E00C19" w:rsidRPr="009E1CED" w:rsidRDefault="00E00C19" w:rsidP="00E00C19">
      <w:pPr>
        <w:jc w:val="both"/>
        <w:rPr>
          <w:rFonts w:ascii="Arial" w:hAnsi="Arial" w:cs="Arial"/>
          <w:b/>
          <w:bCs/>
          <w:sz w:val="20"/>
          <w:szCs w:val="20"/>
        </w:rPr>
      </w:pPr>
      <w:r w:rsidRPr="009E1CED">
        <w:rPr>
          <w:rFonts w:ascii="Arial" w:hAnsi="Arial" w:cs="Arial"/>
          <w:b/>
          <w:bCs/>
          <w:sz w:val="20"/>
          <w:szCs w:val="20"/>
        </w:rPr>
        <w:lastRenderedPageBreak/>
        <w:t>Poster Presentation</w:t>
      </w:r>
    </w:p>
    <w:p w14:paraId="01015737" w14:textId="77777777" w:rsidR="00E00C19" w:rsidRPr="009E1CED" w:rsidRDefault="00000000" w:rsidP="00E00C19">
      <w:pPr>
        <w:pStyle w:val="DDLTitle"/>
        <w:rPr>
          <w:rFonts w:cs="Arial"/>
          <w:sz w:val="20"/>
          <w:szCs w:val="20"/>
        </w:rPr>
      </w:pPr>
      <w:sdt>
        <w:sdtPr>
          <w:rPr>
            <w:rFonts w:cs="Arial"/>
            <w:sz w:val="20"/>
            <w:szCs w:val="20"/>
          </w:rPr>
          <w:alias w:val="Title"/>
          <w:tag w:val="Title"/>
          <w:id w:val="-2047515284"/>
          <w:placeholder>
            <w:docPart w:val="AF2B0796D7946E488D2D603DDB57711A"/>
          </w:placeholder>
        </w:sdtPr>
        <w:sdtContent>
          <w:r w:rsidR="00E00C19" w:rsidRPr="009E1CED">
            <w:rPr>
              <w:rFonts w:cs="Arial"/>
              <w:i/>
              <w:iCs/>
              <w:color w:val="000000"/>
              <w:sz w:val="20"/>
              <w:szCs w:val="20"/>
            </w:rPr>
            <w:t xml:space="preserve">Development of Inhalation Powders Containing Lactobacilli with Antimicrobial Activity Against Pseudomonas aeruginosa </w:t>
          </w:r>
        </w:sdtContent>
      </w:sdt>
      <w:r w:rsidR="00E00C19" w:rsidRPr="009E1CED">
        <w:rPr>
          <w:rFonts w:cs="Arial"/>
          <w:sz w:val="20"/>
          <w:szCs w:val="20"/>
        </w:rPr>
        <w:t xml:space="preserve"> </w:t>
      </w:r>
    </w:p>
    <w:p w14:paraId="2B7B839E" w14:textId="77777777" w:rsidR="00E00C19" w:rsidRPr="009E1CED" w:rsidRDefault="00000000" w:rsidP="00E00C19">
      <w:pPr>
        <w:pStyle w:val="DDLSubtitle"/>
        <w:rPr>
          <w:rFonts w:cs="Arial"/>
          <w:sz w:val="20"/>
          <w:szCs w:val="20"/>
          <w:vertAlign w:val="superscript"/>
          <w:lang w:val="it-IT"/>
        </w:rPr>
      </w:pPr>
      <w:sdt>
        <w:sdtPr>
          <w:rPr>
            <w:rFonts w:cs="Arial"/>
            <w:sz w:val="20"/>
            <w:szCs w:val="20"/>
            <w:u w:val="single"/>
          </w:rPr>
          <w:alias w:val="Main Author"/>
          <w:tag w:val="Main Author"/>
          <w:id w:val="1067763832"/>
          <w:placeholder>
            <w:docPart w:val="27AA517C4797C9479D39E49D6E2D7E80"/>
          </w:placeholder>
        </w:sdtPr>
        <w:sdtContent>
          <w:r w:rsidR="00E00C19" w:rsidRPr="009E1CED">
            <w:rPr>
              <w:rFonts w:cs="Arial"/>
              <w:sz w:val="20"/>
              <w:szCs w:val="20"/>
              <w:u w:val="single"/>
              <w:lang w:val="it-IT"/>
            </w:rPr>
            <w:t>Stefania Glieca</w:t>
          </w:r>
        </w:sdtContent>
      </w:sdt>
      <w:r w:rsidR="00E00C19" w:rsidRPr="009E1CED">
        <w:rPr>
          <w:rFonts w:cs="Arial"/>
          <w:sz w:val="20"/>
          <w:szCs w:val="20"/>
          <w:vertAlign w:val="superscript"/>
          <w:lang w:val="it-IT"/>
        </w:rPr>
        <w:t>1</w:t>
      </w:r>
      <w:r w:rsidR="00E00C19" w:rsidRPr="009E1CED">
        <w:rPr>
          <w:rFonts w:cs="Arial"/>
          <w:sz w:val="20"/>
          <w:szCs w:val="20"/>
          <w:lang w:val="it-IT"/>
        </w:rPr>
        <w:t>, Eride Quarta</w:t>
      </w:r>
      <w:r w:rsidR="00E00C19" w:rsidRPr="009E1CED">
        <w:rPr>
          <w:rFonts w:cs="Arial"/>
          <w:sz w:val="20"/>
          <w:szCs w:val="20"/>
          <w:vertAlign w:val="superscript"/>
          <w:lang w:val="it-IT"/>
        </w:rPr>
        <w:t>1</w:t>
      </w:r>
      <w:r w:rsidR="00E00C19" w:rsidRPr="009E1CED">
        <w:rPr>
          <w:rFonts w:cs="Arial"/>
          <w:sz w:val="20"/>
          <w:szCs w:val="20"/>
          <w:lang w:val="it-IT"/>
        </w:rPr>
        <w:t>, Benedetta Bottari</w:t>
      </w:r>
      <w:r w:rsidR="00E00C19" w:rsidRPr="009E1CED">
        <w:rPr>
          <w:rFonts w:cs="Arial"/>
          <w:sz w:val="20"/>
          <w:szCs w:val="20"/>
          <w:vertAlign w:val="superscript"/>
          <w:lang w:val="it-IT"/>
        </w:rPr>
        <w:t>1</w:t>
      </w:r>
      <w:r w:rsidR="00E00C19" w:rsidRPr="009E1CED">
        <w:rPr>
          <w:rFonts w:cs="Arial"/>
          <w:sz w:val="20"/>
          <w:szCs w:val="20"/>
          <w:lang w:val="it-IT"/>
        </w:rPr>
        <w:t>, Elena Bancalari</w:t>
      </w:r>
      <w:r w:rsidR="00E00C19" w:rsidRPr="009E1CED">
        <w:rPr>
          <w:rFonts w:cs="Arial"/>
          <w:sz w:val="20"/>
          <w:szCs w:val="20"/>
          <w:vertAlign w:val="superscript"/>
          <w:lang w:val="it-IT"/>
        </w:rPr>
        <w:t>1</w:t>
      </w:r>
      <w:r w:rsidR="00E00C19" w:rsidRPr="009E1CED">
        <w:rPr>
          <w:rFonts w:cs="Arial"/>
          <w:sz w:val="20"/>
          <w:szCs w:val="20"/>
          <w:lang w:val="it-IT"/>
        </w:rPr>
        <w:t>, Erika Scaltriti</w:t>
      </w:r>
      <w:r w:rsidR="00E00C19" w:rsidRPr="009E1CED">
        <w:rPr>
          <w:rFonts w:cs="Arial"/>
          <w:sz w:val="20"/>
          <w:szCs w:val="20"/>
          <w:vertAlign w:val="superscript"/>
          <w:lang w:val="it-IT"/>
        </w:rPr>
        <w:t>2</w:t>
      </w:r>
      <w:r w:rsidR="00E00C19" w:rsidRPr="009E1CED">
        <w:rPr>
          <w:rFonts w:cs="Arial"/>
          <w:sz w:val="20"/>
          <w:szCs w:val="20"/>
          <w:lang w:val="it-IT"/>
        </w:rPr>
        <w:t>, Martina Tambassi</w:t>
      </w:r>
      <w:r w:rsidR="00E00C19" w:rsidRPr="009E1CED">
        <w:rPr>
          <w:rFonts w:cs="Arial"/>
          <w:sz w:val="20"/>
          <w:szCs w:val="20"/>
          <w:vertAlign w:val="superscript"/>
          <w:lang w:val="it-IT"/>
        </w:rPr>
        <w:t>2</w:t>
      </w:r>
      <w:r w:rsidR="00E00C19" w:rsidRPr="009E1CED">
        <w:rPr>
          <w:rFonts w:cs="Arial"/>
          <w:sz w:val="20"/>
          <w:szCs w:val="20"/>
          <w:lang w:val="it-IT"/>
        </w:rPr>
        <w:t>, Lisa Flammini</w:t>
      </w:r>
      <w:r w:rsidR="00E00C19" w:rsidRPr="009E1CED">
        <w:rPr>
          <w:rFonts w:cs="Arial"/>
          <w:sz w:val="20"/>
          <w:szCs w:val="20"/>
          <w:vertAlign w:val="superscript"/>
          <w:lang w:val="it-IT"/>
        </w:rPr>
        <w:t>1</w:t>
      </w:r>
      <w:r w:rsidR="00E00C19" w:rsidRPr="009E1CED">
        <w:rPr>
          <w:rFonts w:cs="Arial"/>
          <w:sz w:val="20"/>
          <w:szCs w:val="20"/>
          <w:lang w:val="it-IT"/>
        </w:rPr>
        <w:t>, Simona Bertoni</w:t>
      </w:r>
      <w:r w:rsidR="00E00C19" w:rsidRPr="009E1CED">
        <w:rPr>
          <w:rFonts w:cs="Arial"/>
          <w:sz w:val="20"/>
          <w:szCs w:val="20"/>
          <w:vertAlign w:val="superscript"/>
          <w:lang w:val="it-IT"/>
        </w:rPr>
        <w:t>1</w:t>
      </w:r>
      <w:r w:rsidR="00E00C19" w:rsidRPr="009E1CED">
        <w:rPr>
          <w:rFonts w:cs="Arial"/>
          <w:sz w:val="20"/>
          <w:szCs w:val="20"/>
          <w:lang w:val="it-IT"/>
        </w:rPr>
        <w:t>, Fabio Sonvico</w:t>
      </w:r>
      <w:r w:rsidR="00E00C19" w:rsidRPr="009E1CED">
        <w:rPr>
          <w:rFonts w:cs="Arial"/>
          <w:sz w:val="20"/>
          <w:szCs w:val="20"/>
          <w:vertAlign w:val="superscript"/>
          <w:lang w:val="it-IT"/>
        </w:rPr>
        <w:t>1</w:t>
      </w:r>
      <w:r w:rsidR="00E00C19" w:rsidRPr="009E1CED">
        <w:rPr>
          <w:rFonts w:cs="Arial"/>
          <w:sz w:val="20"/>
          <w:szCs w:val="20"/>
          <w:lang w:val="it-IT"/>
        </w:rPr>
        <w:t xml:space="preserve"> &amp; Francesca Buttini</w:t>
      </w:r>
      <w:r w:rsidR="00E00C19" w:rsidRPr="009E1CED">
        <w:rPr>
          <w:rFonts w:cs="Arial"/>
          <w:sz w:val="20"/>
          <w:szCs w:val="20"/>
          <w:vertAlign w:val="superscript"/>
          <w:lang w:val="it-IT"/>
        </w:rPr>
        <w:t>1</w:t>
      </w:r>
    </w:p>
    <w:p w14:paraId="3C750570" w14:textId="77777777" w:rsidR="00E00C19" w:rsidRPr="009E1CED" w:rsidRDefault="00E00C19" w:rsidP="00E00C19">
      <w:pPr>
        <w:pStyle w:val="DDLAddress1"/>
        <w:ind w:left="360"/>
        <w:rPr>
          <w:rFonts w:cs="Arial"/>
          <w:sz w:val="20"/>
          <w:szCs w:val="20"/>
        </w:rPr>
      </w:pPr>
      <w:r w:rsidRPr="009E1CED">
        <w:rPr>
          <w:rFonts w:cs="Arial"/>
          <w:sz w:val="20"/>
          <w:szCs w:val="20"/>
          <w:vertAlign w:val="superscript"/>
          <w:lang w:val="en-US"/>
        </w:rPr>
        <w:t xml:space="preserve">1 </w:t>
      </w:r>
      <w:r w:rsidRPr="009E1CED">
        <w:rPr>
          <w:rFonts w:cs="Arial"/>
          <w:sz w:val="20"/>
          <w:szCs w:val="20"/>
        </w:rPr>
        <w:t>Food and Drug Department, University of Parma, Parco Area delle Scienze 27/a, Parma, 43125, Italy</w:t>
      </w:r>
    </w:p>
    <w:p w14:paraId="705E7223" w14:textId="77777777" w:rsidR="00E00C19" w:rsidRPr="009E1CED" w:rsidRDefault="00E00C19" w:rsidP="00E00C19">
      <w:pPr>
        <w:pStyle w:val="DDLAddress1"/>
        <w:ind w:left="360"/>
        <w:rPr>
          <w:rFonts w:cs="Arial"/>
          <w:sz w:val="20"/>
          <w:szCs w:val="20"/>
          <w:lang w:val="it-IT"/>
        </w:rPr>
      </w:pPr>
      <w:r w:rsidRPr="009E1CED">
        <w:rPr>
          <w:rFonts w:cs="Arial"/>
          <w:sz w:val="20"/>
          <w:szCs w:val="20"/>
          <w:vertAlign w:val="superscript"/>
          <w:lang w:val="it-IT"/>
        </w:rPr>
        <w:t xml:space="preserve">2 </w:t>
      </w:r>
      <w:r w:rsidRPr="009E1CED">
        <w:rPr>
          <w:rFonts w:cs="Arial"/>
          <w:sz w:val="20"/>
          <w:szCs w:val="20"/>
          <w:lang w:val="it-IT"/>
        </w:rPr>
        <w:t>Risk Analysis and Genomic Epidemiology Unit, Istituto Zooprofilattico Sperimentale della Lombardia e dell'Emilia-Romagna, Strada dei Mercati, 13/A, Parma, 43126, Italy</w:t>
      </w:r>
    </w:p>
    <w:p w14:paraId="724DA624" w14:textId="77777777" w:rsidR="00E00C19" w:rsidRPr="009E1CED" w:rsidRDefault="00E00C19" w:rsidP="00E00C19">
      <w:pPr>
        <w:pStyle w:val="DDLHeading1"/>
        <w:spacing w:after="120"/>
        <w:rPr>
          <w:rFonts w:cs="Arial"/>
          <w:sz w:val="20"/>
          <w:szCs w:val="20"/>
        </w:rPr>
      </w:pPr>
      <w:r w:rsidRPr="009E1CED">
        <w:rPr>
          <w:rFonts w:cs="Arial"/>
          <w:sz w:val="20"/>
          <w:szCs w:val="20"/>
        </w:rPr>
        <w:t>Introduction</w:t>
      </w:r>
    </w:p>
    <w:p w14:paraId="27EBB5FB" w14:textId="77777777" w:rsidR="00E00C19" w:rsidRPr="009E1CED" w:rsidRDefault="00E00C19" w:rsidP="00E00C19">
      <w:pPr>
        <w:pStyle w:val="DDLBodyText"/>
        <w:tabs>
          <w:tab w:val="left" w:pos="1126"/>
        </w:tabs>
        <w:spacing w:after="0"/>
        <w:contextualSpacing/>
        <w:rPr>
          <w:rFonts w:cs="Arial"/>
          <w:color w:val="000000"/>
          <w:sz w:val="20"/>
          <w:lang w:val="en-US"/>
        </w:rPr>
      </w:pPr>
      <w:r w:rsidRPr="009E1CED">
        <w:rPr>
          <w:rFonts w:cs="Arial"/>
          <w:sz w:val="20"/>
        </w:rPr>
        <w:t>Although for many years lungs had been considered sterile, in the last decades the presence of a microbial community has been demonstrated. Furthermore, a correlation has been identified between the modification of the lung microbiota and respiratory diseases, such as asthma, chronic obstructive pulmonary disease, and airway infections in cystic fibrosis (CF) patients</w:t>
      </w:r>
      <w:sdt>
        <w:sdtPr>
          <w:rPr>
            <w:rFonts w:cs="Arial"/>
            <w:color w:val="000000"/>
            <w:sz w:val="20"/>
            <w:vertAlign w:val="superscript"/>
            <w:lang w:val="en-US"/>
          </w:rPr>
          <w:tag w:val="MENDELEY_CITATION_v3_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"/>
          <w:id w:val="719704868"/>
          <w:placeholder>
            <w:docPart w:val="AAE009F8B7AA9E458C0280A5C4138628"/>
          </w:placeholder>
        </w:sdtPr>
        <w:sdtContent>
          <w:r w:rsidRPr="009E1CED">
            <w:rPr>
              <w:rFonts w:cs="Arial"/>
              <w:color w:val="000000"/>
              <w:sz w:val="20"/>
              <w:vertAlign w:val="superscript"/>
              <w:lang w:val="en-US"/>
            </w:rPr>
            <w:t>1</w:t>
          </w:r>
        </w:sdtContent>
      </w:sdt>
      <w:r w:rsidRPr="009E1CED">
        <w:rPr>
          <w:rFonts w:cs="Arial"/>
          <w:color w:val="000000"/>
          <w:sz w:val="20"/>
          <w:lang w:val="en-US"/>
        </w:rPr>
        <w:t xml:space="preserve">. Because of their beneficial effects on controlling </w:t>
      </w:r>
      <w:r w:rsidRPr="009E1CED">
        <w:rPr>
          <w:rFonts w:cs="Arial"/>
          <w:i/>
          <w:iCs/>
          <w:color w:val="000000"/>
          <w:sz w:val="20"/>
          <w:lang w:val="en-US"/>
        </w:rPr>
        <w:t>Pseudomonas aeruginosa</w:t>
      </w:r>
      <w:r w:rsidRPr="009E1CED">
        <w:rPr>
          <w:rFonts w:cs="Arial"/>
          <w:color w:val="000000"/>
          <w:sz w:val="20"/>
          <w:lang w:val="en-US"/>
        </w:rPr>
        <w:t xml:space="preserve"> growth and their proven safety, </w:t>
      </w:r>
      <w:r w:rsidRPr="009E1CED">
        <w:rPr>
          <w:rFonts w:cs="Arial"/>
          <w:i/>
          <w:iCs/>
          <w:sz w:val="20"/>
          <w:lang w:val="en-US"/>
        </w:rPr>
        <w:t xml:space="preserve">Lactobacillus </w:t>
      </w:r>
      <w:r w:rsidRPr="009E1CED">
        <w:rPr>
          <w:rFonts w:cs="Arial"/>
          <w:sz w:val="20"/>
          <w:lang w:val="en-US"/>
        </w:rPr>
        <w:t xml:space="preserve">species are under investigation as probiotics </w:t>
      </w:r>
      <w:r w:rsidRPr="009E1CED">
        <w:rPr>
          <w:rFonts w:cs="Arial"/>
          <w:color w:val="000000"/>
          <w:sz w:val="20"/>
          <w:lang w:val="en-US"/>
        </w:rPr>
        <w:t>for potentially preventing pulmonary infections</w:t>
      </w:r>
      <w:sdt>
        <w:sdtPr>
          <w:rPr>
            <w:rFonts w:cs="Arial"/>
            <w:color w:val="000000"/>
            <w:sz w:val="20"/>
            <w:vertAlign w:val="superscript"/>
          </w:rPr>
          <w:tag w:val="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"/>
          <w:id w:val="1747388907"/>
          <w:placeholder>
            <w:docPart w:val="295E544114724C43A59182FF2CA8E297"/>
          </w:placeholder>
        </w:sdtPr>
        <w:sdtContent>
          <w:r w:rsidRPr="009E1CED">
            <w:rPr>
              <w:rFonts w:cs="Arial"/>
              <w:color w:val="000000"/>
              <w:sz w:val="20"/>
              <w:vertAlign w:val="superscript"/>
            </w:rPr>
            <w:t>2,3</w:t>
          </w:r>
        </w:sdtContent>
      </w:sdt>
      <w:r w:rsidRPr="009E1CED">
        <w:rPr>
          <w:rFonts w:cs="Arial"/>
          <w:color w:val="000000"/>
          <w:sz w:val="20"/>
        </w:rPr>
        <w:t xml:space="preserve">. To date, clinical trials on the use of probiotics concern their oral administration, which effects should be mediated by the gut-lung axis </w:t>
      </w:r>
      <w:sdt>
        <w:sdtPr>
          <w:rPr>
            <w:rFonts w:cs="Arial"/>
            <w:color w:val="000000"/>
            <w:sz w:val="20"/>
            <w:vertAlign w:val="superscript"/>
            <w:lang w:val="en-US"/>
          </w:rPr>
          <w:tag w:val="MENDELEY_CITATION_v3_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"/>
          <w:id w:val="-1455089111"/>
          <w:placeholder>
            <w:docPart w:val="F445A8FFC9BE334DA4D51F8067CA14D0"/>
          </w:placeholder>
        </w:sdtPr>
        <w:sdtContent>
          <w:r w:rsidRPr="009E1CED">
            <w:rPr>
              <w:rFonts w:cs="Arial"/>
              <w:color w:val="000000"/>
              <w:sz w:val="20"/>
              <w:vertAlign w:val="superscript"/>
              <w:lang w:val="en-US"/>
            </w:rPr>
            <w:t>4</w:t>
          </w:r>
        </w:sdtContent>
      </w:sdt>
      <w:r w:rsidRPr="009E1CED">
        <w:rPr>
          <w:rFonts w:cs="Arial"/>
          <w:color w:val="000000"/>
          <w:sz w:val="20"/>
          <w:lang w:val="en-US"/>
        </w:rPr>
        <w:t>. A novel and innovative approach could be to administer them directly to the lung, the primary site of infection.</w:t>
      </w:r>
    </w:p>
    <w:p w14:paraId="18B11E40" w14:textId="77777777" w:rsidR="00E00C19" w:rsidRPr="009E1CED" w:rsidRDefault="00E00C19" w:rsidP="00E00C19">
      <w:pPr>
        <w:pStyle w:val="DDLBodyText"/>
        <w:tabs>
          <w:tab w:val="left" w:pos="1126"/>
        </w:tabs>
        <w:spacing w:after="0"/>
        <w:contextualSpacing/>
        <w:rPr>
          <w:rFonts w:cs="Arial"/>
          <w:color w:val="000000"/>
          <w:sz w:val="20"/>
          <w:lang w:val="en-US"/>
        </w:rPr>
      </w:pPr>
      <w:r w:rsidRPr="009E1CED">
        <w:rPr>
          <w:rFonts w:cs="Arial"/>
          <w:sz w:val="20"/>
        </w:rPr>
        <w:t xml:space="preserve">The aim of the project was the development and characterization of three powders for inhalation containing different strains of probiotic bacteria, </w:t>
      </w:r>
      <w:r w:rsidRPr="009E1CED">
        <w:rPr>
          <w:rFonts w:cs="Arial"/>
          <w:i/>
          <w:iCs/>
          <w:sz w:val="20"/>
        </w:rPr>
        <w:t>i.e.</w:t>
      </w:r>
      <w:r w:rsidRPr="009E1CED">
        <w:rPr>
          <w:rFonts w:cs="Arial"/>
          <w:sz w:val="20"/>
        </w:rPr>
        <w:t xml:space="preserve"> </w:t>
      </w:r>
      <w:r w:rsidRPr="009E1CED">
        <w:rPr>
          <w:rFonts w:cs="Arial"/>
          <w:i/>
          <w:iCs/>
          <w:sz w:val="20"/>
        </w:rPr>
        <w:t xml:space="preserve">Lpb. plantarum, Lcb. rhamnosus </w:t>
      </w:r>
      <w:r w:rsidRPr="009E1CED">
        <w:rPr>
          <w:rFonts w:cs="Arial"/>
          <w:sz w:val="20"/>
        </w:rPr>
        <w:t>and</w:t>
      </w:r>
      <w:r w:rsidRPr="009E1CED">
        <w:rPr>
          <w:rFonts w:cs="Arial"/>
          <w:i/>
          <w:iCs/>
          <w:sz w:val="20"/>
        </w:rPr>
        <w:t xml:space="preserve"> L. acidophilus</w:t>
      </w:r>
      <w:r w:rsidRPr="009E1CED">
        <w:rPr>
          <w:rFonts w:cs="Arial"/>
          <w:sz w:val="20"/>
        </w:rPr>
        <w:t xml:space="preserve">. The challenge was to obtain a respirable powder able to maintain probiotics viability as well as their antimicrobial effect on </w:t>
      </w:r>
      <w:r w:rsidRPr="009E1CED">
        <w:rPr>
          <w:rFonts w:cs="Arial"/>
          <w:i/>
          <w:iCs/>
          <w:sz w:val="20"/>
        </w:rPr>
        <w:t>P. aeruginosa</w:t>
      </w:r>
      <w:r w:rsidRPr="009E1CED">
        <w:rPr>
          <w:rFonts w:cs="Arial"/>
          <w:sz w:val="20"/>
        </w:rPr>
        <w:t xml:space="preserve">. </w:t>
      </w:r>
    </w:p>
    <w:p w14:paraId="5DE23C57" w14:textId="77777777" w:rsidR="00E00C19" w:rsidRPr="009E1CED" w:rsidRDefault="00E00C19" w:rsidP="00E00C19">
      <w:pPr>
        <w:pStyle w:val="DDLHeading1"/>
        <w:spacing w:after="120"/>
        <w:rPr>
          <w:rFonts w:cs="Arial"/>
          <w:sz w:val="20"/>
          <w:szCs w:val="20"/>
        </w:rPr>
      </w:pPr>
      <w:r w:rsidRPr="009E1CED">
        <w:rPr>
          <w:rFonts w:cs="Arial"/>
          <w:sz w:val="20"/>
          <w:szCs w:val="20"/>
        </w:rPr>
        <w:t>Experimental methods</w:t>
      </w:r>
    </w:p>
    <w:p w14:paraId="4B31AD32" w14:textId="77777777" w:rsidR="00E00C19" w:rsidRPr="009E1CED" w:rsidRDefault="00E00C19" w:rsidP="00E00C19">
      <w:pPr>
        <w:pStyle w:val="DDLBodyText"/>
        <w:spacing w:after="120"/>
        <w:rPr>
          <w:rFonts w:cs="Arial"/>
          <w:sz w:val="20"/>
        </w:rPr>
      </w:pPr>
      <w:r w:rsidRPr="009E1CED">
        <w:rPr>
          <w:rFonts w:cs="Arial"/>
          <w:sz w:val="20"/>
        </w:rPr>
        <w:t>The three probiotics strains were propagated by two overnight subculturing steps at 30°C in De Man Rogosa Sharp broth (Oxoid, Ltd., UK), washed by centrifugation and then diluted at a 5*10</w:t>
      </w:r>
      <w:r w:rsidRPr="009E1CED">
        <w:rPr>
          <w:rFonts w:cs="Arial"/>
          <w:sz w:val="20"/>
          <w:vertAlign w:val="superscript"/>
        </w:rPr>
        <w:t>9</w:t>
      </w:r>
      <w:r w:rsidRPr="009E1CED">
        <w:rPr>
          <w:rFonts w:cs="Arial"/>
          <w:sz w:val="20"/>
        </w:rPr>
        <w:t xml:space="preserve"> cells/mL concentration with phosphate buffer saline (PBS). 50 mL aliquots of the bacterial suspension were spray-dried adding lactose and leucine in a 70:30 ratio, with a total excipient concentration of 1.25 % (w/v), employing a mini spray dryer B-290 (Buchi, CH). The other spray-dried conditions employed were inlet temperature at 145°C, air flow rate at 600 L/h, aspiration at 35 m</w:t>
      </w:r>
      <w:r w:rsidRPr="009E1CED">
        <w:rPr>
          <w:rFonts w:cs="Arial"/>
          <w:sz w:val="20"/>
          <w:vertAlign w:val="superscript"/>
        </w:rPr>
        <w:t>3</w:t>
      </w:r>
      <w:r w:rsidRPr="009E1CED">
        <w:rPr>
          <w:rFonts w:cs="Arial"/>
          <w:sz w:val="20"/>
        </w:rPr>
        <w:t xml:space="preserve">/h, feed rate at 3.5 mL/min and nozzle of 0.7 mm. The microparticles morphology was investigated by Scanning Electron Microscopy (SEM). The </w:t>
      </w:r>
      <w:r w:rsidRPr="009E1CED">
        <w:rPr>
          <w:rFonts w:cs="Arial"/>
          <w:i/>
          <w:iCs/>
          <w:sz w:val="20"/>
        </w:rPr>
        <w:t>in vitro</w:t>
      </w:r>
      <w:r w:rsidRPr="009E1CED">
        <w:rPr>
          <w:rFonts w:cs="Arial"/>
          <w:sz w:val="20"/>
        </w:rPr>
        <w:t xml:space="preserve"> aerodynamic assessment was carried out by a Next Generation Impactor (NGI, Copley Scientific Limited, UK), aerosolizing the powder using a RS01® (Plastiape, IT). The viability of Lactic Acid Bacteria (LAB) before and after the powder production was investigated using the live/dead BacLight Bacterial Kit®. To evaluate the ability of the LAB to adhere to the epithelial cells of the lung, the spray-dried powders were deposited on A549 and Calu-3 cells and after 2h, the non-adherent bacteria were removed by washing with PBS. Adherent bacteria were quantified, and the % of adhesion was calculated as the ratio of adhered to deposited bacteria, in percentage. The capacity of the LAB in the powders to inhibit the</w:t>
      </w:r>
      <w:r w:rsidRPr="009E1CED">
        <w:rPr>
          <w:rFonts w:cs="Arial"/>
          <w:i/>
          <w:iCs/>
          <w:sz w:val="20"/>
        </w:rPr>
        <w:t xml:space="preserve"> P. aeruginosa</w:t>
      </w:r>
      <w:r w:rsidRPr="009E1CED">
        <w:rPr>
          <w:rFonts w:cs="Arial"/>
          <w:sz w:val="20"/>
        </w:rPr>
        <w:t xml:space="preserve"> growth </w:t>
      </w:r>
      <w:r w:rsidRPr="009E1CED">
        <w:rPr>
          <w:rFonts w:cs="Arial"/>
          <w:i/>
          <w:iCs/>
          <w:sz w:val="20"/>
        </w:rPr>
        <w:t>in vitro</w:t>
      </w:r>
      <w:r w:rsidRPr="009E1CED">
        <w:rPr>
          <w:rFonts w:cs="Arial"/>
          <w:sz w:val="20"/>
        </w:rPr>
        <w:t xml:space="preserve"> was evaluated by a liquid co-colture assay. In detail, it was evaluated the growth of three </w:t>
      </w:r>
      <w:r w:rsidRPr="009E1CED">
        <w:rPr>
          <w:rFonts w:cs="Arial"/>
          <w:i/>
          <w:iCs/>
          <w:sz w:val="20"/>
        </w:rPr>
        <w:t>P. aeruginosa</w:t>
      </w:r>
      <w:r w:rsidRPr="009E1CED">
        <w:rPr>
          <w:rFonts w:cs="Arial"/>
          <w:sz w:val="20"/>
        </w:rPr>
        <w:t xml:space="preserve"> strains, with different virulence, in the presence of a concentration of 10</w:t>
      </w:r>
      <w:r w:rsidRPr="009E1CED">
        <w:rPr>
          <w:rFonts w:cs="Arial"/>
          <w:sz w:val="20"/>
          <w:vertAlign w:val="superscript"/>
        </w:rPr>
        <w:t>6</w:t>
      </w:r>
      <w:r w:rsidRPr="009E1CED">
        <w:rPr>
          <w:rFonts w:cs="Arial"/>
          <w:sz w:val="20"/>
        </w:rPr>
        <w:t xml:space="preserve"> cells/mL of LAB obtained by suspending an adequate quantity of spray-dried powder in PBS. </w:t>
      </w:r>
    </w:p>
    <w:p w14:paraId="4BCE3DF7" w14:textId="77777777" w:rsidR="00E00C19" w:rsidRPr="009E1CED" w:rsidRDefault="00E00C19" w:rsidP="00E00C19">
      <w:pPr>
        <w:pStyle w:val="DDLHeading1"/>
        <w:spacing w:afterLines="120" w:after="288"/>
        <w:rPr>
          <w:rFonts w:cs="Arial"/>
          <w:sz w:val="20"/>
          <w:szCs w:val="20"/>
        </w:rPr>
      </w:pPr>
      <w:r w:rsidRPr="009E1CED">
        <w:rPr>
          <w:rFonts w:cs="Arial"/>
          <w:sz w:val="20"/>
          <w:szCs w:val="20"/>
        </w:rPr>
        <w:t>Results and Discussion</w:t>
      </w:r>
    </w:p>
    <w:p w14:paraId="422C0EA9" w14:textId="77777777" w:rsidR="00E00C19" w:rsidRPr="009E1CED" w:rsidRDefault="00E00C19" w:rsidP="00E00C19">
      <w:pPr>
        <w:spacing w:after="0"/>
        <w:rPr>
          <w:rFonts w:ascii="Arial" w:hAnsi="Arial" w:cs="Arial"/>
          <w:sz w:val="20"/>
          <w:szCs w:val="20"/>
        </w:rPr>
      </w:pPr>
      <w:r w:rsidRPr="009E1CED">
        <w:rPr>
          <w:rFonts w:ascii="Arial" w:hAnsi="Arial" w:cs="Arial"/>
          <w:i/>
          <w:iCs/>
          <w:sz w:val="20"/>
          <w:szCs w:val="20"/>
        </w:rPr>
        <w:t>Lpb. plantarum</w:t>
      </w:r>
      <w:r w:rsidRPr="009E1CED">
        <w:rPr>
          <w:rFonts w:ascii="Arial" w:hAnsi="Arial" w:cs="Arial"/>
          <w:sz w:val="20"/>
          <w:szCs w:val="20"/>
        </w:rPr>
        <w:t xml:space="preserve">, </w:t>
      </w:r>
      <w:r w:rsidRPr="009E1CED">
        <w:rPr>
          <w:rFonts w:ascii="Arial" w:hAnsi="Arial" w:cs="Arial"/>
          <w:i/>
          <w:iCs/>
          <w:sz w:val="20"/>
          <w:szCs w:val="20"/>
        </w:rPr>
        <w:t>Lcb. rhamnosus</w:t>
      </w:r>
      <w:r w:rsidRPr="009E1CED">
        <w:rPr>
          <w:rFonts w:ascii="Arial" w:hAnsi="Arial" w:cs="Arial"/>
          <w:sz w:val="20"/>
          <w:szCs w:val="20"/>
        </w:rPr>
        <w:t xml:space="preserve"> and </w:t>
      </w:r>
      <w:r w:rsidRPr="009E1CED">
        <w:rPr>
          <w:rFonts w:ascii="Arial" w:hAnsi="Arial" w:cs="Arial"/>
          <w:i/>
          <w:iCs/>
          <w:sz w:val="20"/>
          <w:szCs w:val="20"/>
        </w:rPr>
        <w:t>L. acidophilus</w:t>
      </w:r>
      <w:r w:rsidRPr="009E1CED">
        <w:rPr>
          <w:rFonts w:ascii="Arial" w:hAnsi="Arial" w:cs="Arial"/>
          <w:sz w:val="20"/>
          <w:szCs w:val="20"/>
        </w:rPr>
        <w:t xml:space="preserve"> spray-dried powders, after an optimization of the formulation trough a design of experiments approach, were efficiently produced with a process yield higher than 80%. The viability of the LAB in the powder decreased of only 1 Log unit after the spray drying process, a value that is in agreement with what is reported in literature</w:t>
      </w:r>
      <w:sdt>
        <w:sdtPr>
          <w:rPr>
            <w:rFonts w:ascii="Arial" w:hAnsi="Arial" w:cs="Arial"/>
            <w:color w:val="000000"/>
            <w:sz w:val="20"/>
            <w:szCs w:val="20"/>
            <w:vertAlign w:val="superscript"/>
          </w:rPr>
          <w:tag w:val="MENDELEY_CITATION_v3_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"/>
          <w:id w:val="-1554301161"/>
          <w:placeholder>
            <w:docPart w:val="B732061DFC3AE24EAF8DEF3019B34611"/>
          </w:placeholder>
        </w:sdtPr>
        <w:sdtContent>
          <w:r w:rsidRPr="009E1CED">
            <w:rPr>
              <w:rFonts w:ascii="Arial" w:hAnsi="Arial" w:cs="Arial"/>
              <w:color w:val="000000"/>
              <w:sz w:val="20"/>
              <w:szCs w:val="20"/>
              <w:vertAlign w:val="superscript"/>
            </w:rPr>
            <w:t>5</w:t>
          </w:r>
        </w:sdtContent>
      </w:sdt>
      <w:r w:rsidRPr="009E1CED">
        <w:rPr>
          <w:rFonts w:ascii="Arial" w:hAnsi="Arial" w:cs="Arial"/>
          <w:sz w:val="20"/>
          <w:szCs w:val="20"/>
        </w:rPr>
        <w:t>. The SEM analysis revealed that the bacteria were inserted into a matrix of excipients organized in the form of collapsed particles with a maximum size of 3-4 µm (</w:t>
      </w:r>
      <w:r w:rsidRPr="009E1CED">
        <w:rPr>
          <w:rFonts w:ascii="Arial" w:hAnsi="Arial" w:cs="Arial"/>
          <w:b/>
          <w:bCs/>
          <w:sz w:val="20"/>
          <w:szCs w:val="20"/>
        </w:rPr>
        <w:t>Figure 1A</w:t>
      </w:r>
      <w:r w:rsidRPr="009E1CED">
        <w:rPr>
          <w:rFonts w:ascii="Arial" w:hAnsi="Arial" w:cs="Arial"/>
          <w:sz w:val="20"/>
          <w:szCs w:val="20"/>
        </w:rPr>
        <w:t xml:space="preserve">). </w:t>
      </w:r>
    </w:p>
    <w:p w14:paraId="2F3B52BF" w14:textId="77777777" w:rsidR="00E00C19" w:rsidRPr="009E1CED" w:rsidRDefault="00E00C19" w:rsidP="00E00C19">
      <w:pPr>
        <w:spacing w:after="0"/>
        <w:rPr>
          <w:rFonts w:ascii="Arial" w:hAnsi="Arial" w:cs="Arial"/>
          <w:sz w:val="20"/>
          <w:szCs w:val="20"/>
          <w:lang w:val="en-US"/>
        </w:rPr>
      </w:pPr>
      <w:r w:rsidRPr="009E1CED">
        <w:rPr>
          <w:rFonts w:ascii="Arial" w:hAnsi="Arial" w:cs="Arial"/>
          <w:sz w:val="20"/>
          <w:szCs w:val="20"/>
        </w:rPr>
        <w:t xml:space="preserve">Aerodynamic deposition determined gravimetrically was, for all three LAB formulations, characterized by a high amount (30%) of powder deposited in the stages that collect particles with an aerodynamic </w:t>
      </w:r>
      <w:r w:rsidRPr="009E1CED">
        <w:rPr>
          <w:rFonts w:ascii="Arial" w:hAnsi="Arial" w:cs="Arial"/>
          <w:sz w:val="20"/>
          <w:szCs w:val="20"/>
        </w:rPr>
        <w:lastRenderedPageBreak/>
        <w:t xml:space="preserve">diameter &lt; 0.5 µm. The MMAD value was about 3 µm for all three formulations, with a FPF of 51.3%. However, gravimetric quantification does not allow to assess the composition of the powder deposited. The quantification of </w:t>
      </w:r>
      <w:r w:rsidRPr="009E1CED">
        <w:rPr>
          <w:rFonts w:ascii="Arial" w:hAnsi="Arial" w:cs="Arial"/>
          <w:i/>
          <w:iCs/>
          <w:sz w:val="20"/>
          <w:szCs w:val="20"/>
        </w:rPr>
        <w:t xml:space="preserve">Lpb. plantarum </w:t>
      </w:r>
      <w:r w:rsidRPr="009E1CED">
        <w:rPr>
          <w:rFonts w:ascii="Arial" w:hAnsi="Arial" w:cs="Arial"/>
          <w:sz w:val="20"/>
          <w:szCs w:val="20"/>
        </w:rPr>
        <w:t>cells, in fact, revealed that the powder deposited in the last stages was mostly composed by excipients, while LAB deposited in the stages which collect particles in the range 2-8 µm. This led to an increase in the MMAD to 5.28 µm and a FPF of 48.3%. This is reasonable considering that LABs have an intrinsic length that can vary from 0.5 to 10 µm, and it is certainly not possible to reduce their intrinsic size during the formulation, as they would no longer be viable.</w:t>
      </w:r>
    </w:p>
    <w:p w14:paraId="11E22BB4" w14:textId="77777777" w:rsidR="00E00C19" w:rsidRPr="009E1CED" w:rsidRDefault="00E00C19" w:rsidP="00E00C19">
      <w:pPr>
        <w:pStyle w:val="DDLBodyText"/>
        <w:rPr>
          <w:rFonts w:cs="Arial"/>
          <w:sz w:val="20"/>
        </w:rPr>
      </w:pPr>
      <w:r w:rsidRPr="009E1CED">
        <w:rPr>
          <w:rFonts w:cs="Arial"/>
          <w:sz w:val="20"/>
        </w:rPr>
        <w:t xml:space="preserve">The LABs capacity to adhere to lung cells and the antimicrobial effect of the powders are the main mechanisms that the host can benefit from, thus representing the discriminants for the choice of probiotic strains. </w:t>
      </w:r>
      <w:r w:rsidRPr="009E1CED">
        <w:rPr>
          <w:rFonts w:cs="Arial"/>
          <w:sz w:val="20"/>
        </w:rPr>
        <w:br/>
      </w:r>
      <w:r w:rsidRPr="009E1CED">
        <w:rPr>
          <w:rFonts w:cs="Arial"/>
          <w:i/>
          <w:iCs/>
          <w:sz w:val="20"/>
        </w:rPr>
        <w:t>Lpb. plantarum</w:t>
      </w:r>
      <w:r w:rsidRPr="009E1CED">
        <w:rPr>
          <w:rFonts w:cs="Arial"/>
          <w:sz w:val="20"/>
        </w:rPr>
        <w:t xml:space="preserve"> had greater ability to adhere to host cell surface on both cell lines and this can be related to its higher resistance to the spray drying process which allows the retention of its extracellular proteins capable to interact with collagen, or mucus</w:t>
      </w:r>
      <w:sdt>
        <w:sdtPr>
          <w:rPr>
            <w:rFonts w:cs="Arial"/>
            <w:color w:val="000000"/>
            <w:sz w:val="20"/>
            <w:vertAlign w:val="superscript"/>
          </w:rPr>
          <w:tag w:val="MENDELEY_CITATION_v3_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"/>
          <w:id w:val="1016891754"/>
          <w:placeholder>
            <w:docPart w:val="9E7EFAB64D92DF4B9F7ECFAADE3F158A"/>
          </w:placeholder>
        </w:sdtPr>
        <w:sdtContent>
          <w:r w:rsidRPr="009E1CED">
            <w:rPr>
              <w:rFonts w:cs="Arial"/>
              <w:color w:val="000000"/>
              <w:sz w:val="20"/>
              <w:vertAlign w:val="superscript"/>
            </w:rPr>
            <w:t>6</w:t>
          </w:r>
        </w:sdtContent>
      </w:sdt>
      <w:r w:rsidRPr="009E1CED">
        <w:rPr>
          <w:rFonts w:cs="Arial"/>
          <w:sz w:val="20"/>
        </w:rPr>
        <w:t xml:space="preserve"> (</w:t>
      </w:r>
      <w:r w:rsidRPr="009E1CED">
        <w:rPr>
          <w:rFonts w:cs="Arial"/>
          <w:b/>
          <w:bCs/>
          <w:sz w:val="20"/>
        </w:rPr>
        <w:t>Figure 1B</w:t>
      </w:r>
      <w:r w:rsidRPr="009E1CED">
        <w:rPr>
          <w:rFonts w:cs="Arial"/>
          <w:sz w:val="20"/>
        </w:rPr>
        <w:t xml:space="preserve">). In fact, it is reported in literature that the spray drying process can damage </w:t>
      </w:r>
      <w:r w:rsidRPr="009E1CED">
        <w:rPr>
          <w:rFonts w:cs="Arial"/>
          <w:i/>
          <w:iCs/>
          <w:sz w:val="20"/>
        </w:rPr>
        <w:t>Lcb. rhamnosus</w:t>
      </w:r>
      <w:r w:rsidRPr="009E1CED">
        <w:rPr>
          <w:rFonts w:cs="Arial"/>
          <w:sz w:val="20"/>
        </w:rPr>
        <w:t xml:space="preserve"> pili, involved in the adhesion, leading to a decrease in its capacity to adhere to cells compared with bacteria in suspension. Furthermore, because commensal bacteria have developed a mucus binding domain on their cell surface, </w:t>
      </w:r>
      <w:r w:rsidRPr="009E1CED">
        <w:rPr>
          <w:rFonts w:cs="Arial"/>
          <w:i/>
          <w:iCs/>
          <w:sz w:val="20"/>
        </w:rPr>
        <w:t>Lpb. plantarum</w:t>
      </w:r>
      <w:r w:rsidRPr="009E1CED">
        <w:rPr>
          <w:rFonts w:cs="Arial"/>
          <w:sz w:val="20"/>
        </w:rPr>
        <w:t xml:space="preserve"> adhesion to Calu-3 cells was greater than that to A549. </w:t>
      </w:r>
    </w:p>
    <w:p w14:paraId="2CB3425A" w14:textId="77777777" w:rsidR="00E00C19" w:rsidRPr="009E1CED" w:rsidRDefault="00E00C19" w:rsidP="00E00C19">
      <w:pPr>
        <w:pStyle w:val="DDLBodyText"/>
        <w:jc w:val="center"/>
        <w:rPr>
          <w:rFonts w:cs="Arial"/>
          <w:sz w:val="20"/>
        </w:rPr>
      </w:pPr>
      <w:r w:rsidRPr="009E1CED">
        <w:rPr>
          <w:rFonts w:cs="Arial"/>
          <w:noProof/>
          <w:sz w:val="20"/>
        </w:rPr>
        <w:drawing>
          <wp:inline distT="0" distB="0" distL="0" distR="0" wp14:anchorId="18EE82CA" wp14:editId="111C3183">
            <wp:extent cx="4114800" cy="1334407"/>
            <wp:effectExtent l="0" t="0" r="0" b="0"/>
            <wp:docPr id="1919940411" name="Picture 1" descr="A picture containing sketch,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0411" name="Picture 1" descr="A picture containing sketch, black and wh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974" cy="1359434"/>
                    </a:xfrm>
                    <a:prstGeom prst="rect">
                      <a:avLst/>
                    </a:prstGeom>
                  </pic:spPr>
                </pic:pic>
              </a:graphicData>
            </a:graphic>
          </wp:inline>
        </w:drawing>
      </w:r>
    </w:p>
    <w:p w14:paraId="740545BE" w14:textId="77777777" w:rsidR="00E00C19" w:rsidRPr="009E1CED" w:rsidRDefault="00E00C19" w:rsidP="00E00C19">
      <w:pPr>
        <w:pStyle w:val="DDLBodyText"/>
        <w:rPr>
          <w:rFonts w:cs="Arial"/>
          <w:sz w:val="20"/>
        </w:rPr>
      </w:pPr>
      <w:r w:rsidRPr="009E1CED">
        <w:rPr>
          <w:rFonts w:cs="Arial"/>
          <w:b/>
          <w:bCs/>
          <w:sz w:val="20"/>
        </w:rPr>
        <w:t>Figure 1.</w:t>
      </w:r>
      <w:r w:rsidRPr="009E1CED">
        <w:rPr>
          <w:rFonts w:cs="Arial"/>
          <w:sz w:val="20"/>
        </w:rPr>
        <w:t xml:space="preserve"> </w:t>
      </w:r>
      <w:r w:rsidRPr="009E1CED">
        <w:rPr>
          <w:rFonts w:cs="Arial"/>
          <w:b/>
          <w:bCs/>
          <w:sz w:val="20"/>
        </w:rPr>
        <w:t>A:</w:t>
      </w:r>
      <w:r w:rsidRPr="009E1CED">
        <w:rPr>
          <w:rFonts w:cs="Arial"/>
          <w:sz w:val="20"/>
        </w:rPr>
        <w:t xml:space="preserve"> SEM image of the </w:t>
      </w:r>
      <w:r w:rsidRPr="009E1CED">
        <w:rPr>
          <w:rFonts w:cs="Arial"/>
          <w:i/>
          <w:iCs/>
          <w:sz w:val="20"/>
        </w:rPr>
        <w:t>Lpb. plantarum</w:t>
      </w:r>
      <w:r w:rsidRPr="009E1CED">
        <w:rPr>
          <w:rFonts w:cs="Arial"/>
          <w:sz w:val="20"/>
        </w:rPr>
        <w:t xml:space="preserve"> spray-dried powder; </w:t>
      </w:r>
      <w:r w:rsidRPr="009E1CED">
        <w:rPr>
          <w:rFonts w:cs="Arial"/>
          <w:b/>
          <w:bCs/>
          <w:sz w:val="20"/>
        </w:rPr>
        <w:t>B:</w:t>
      </w:r>
      <w:r w:rsidRPr="009E1CED">
        <w:rPr>
          <w:rFonts w:cs="Arial"/>
          <w:sz w:val="20"/>
        </w:rPr>
        <w:t xml:space="preserve"> Adhesion capacity of the three LAB spray-dried powders on A549 and Calu-3 cells (n=3); *p&lt; 0.05, ** p &lt; 0.01 vs. </w:t>
      </w:r>
      <w:r w:rsidRPr="009E1CED">
        <w:rPr>
          <w:rFonts w:cs="Arial"/>
          <w:i/>
          <w:iCs/>
          <w:sz w:val="20"/>
        </w:rPr>
        <w:t>Lpb. plantarum</w:t>
      </w:r>
      <w:r w:rsidRPr="009E1CED">
        <w:rPr>
          <w:rFonts w:cs="Arial"/>
          <w:sz w:val="20"/>
        </w:rPr>
        <w:t xml:space="preserve">; # p &lt; 0.05, ## p &lt; 0.01 vs </w:t>
      </w:r>
      <w:r w:rsidRPr="009E1CED">
        <w:rPr>
          <w:rFonts w:cs="Arial"/>
          <w:i/>
          <w:iCs/>
          <w:sz w:val="20"/>
        </w:rPr>
        <w:t>Lpb. plantarum</w:t>
      </w:r>
      <w:r w:rsidRPr="009E1CED">
        <w:rPr>
          <w:rFonts w:cs="Arial"/>
          <w:sz w:val="20"/>
        </w:rPr>
        <w:t xml:space="preserve"> on A549. </w:t>
      </w:r>
    </w:p>
    <w:p w14:paraId="09517C11" w14:textId="77777777" w:rsidR="00E00C19" w:rsidRPr="009E1CED" w:rsidRDefault="00E00C19" w:rsidP="00E00C19">
      <w:pPr>
        <w:pStyle w:val="DDLBodyText"/>
        <w:rPr>
          <w:rFonts w:cs="Arial"/>
          <w:color w:val="000000"/>
          <w:sz w:val="20"/>
          <w:lang w:val="en-US"/>
        </w:rPr>
      </w:pPr>
      <w:r w:rsidRPr="009E1CED">
        <w:rPr>
          <w:rFonts w:cs="Arial"/>
          <w:sz w:val="20"/>
        </w:rPr>
        <w:t xml:space="preserve">Finally, it was demonstrated how </w:t>
      </w:r>
      <w:r w:rsidRPr="009E1CED">
        <w:rPr>
          <w:rFonts w:cs="Arial"/>
          <w:i/>
          <w:iCs/>
          <w:sz w:val="20"/>
        </w:rPr>
        <w:t>Lpb. plantarum</w:t>
      </w:r>
      <w:r w:rsidRPr="009E1CED">
        <w:rPr>
          <w:rFonts w:cs="Arial"/>
          <w:sz w:val="20"/>
        </w:rPr>
        <w:t xml:space="preserve"> was the only LAB having a bactericidal effect against all </w:t>
      </w:r>
      <w:r w:rsidRPr="009E1CED">
        <w:rPr>
          <w:rFonts w:cs="Arial"/>
          <w:i/>
          <w:iCs/>
          <w:sz w:val="20"/>
        </w:rPr>
        <w:t>P. aeruginosa</w:t>
      </w:r>
      <w:r w:rsidRPr="009E1CED">
        <w:rPr>
          <w:rFonts w:cs="Arial"/>
          <w:sz w:val="20"/>
        </w:rPr>
        <w:t xml:space="preserve"> strains tested (</w:t>
      </w:r>
      <w:r w:rsidRPr="009E1CED">
        <w:rPr>
          <w:rFonts w:cs="Arial"/>
          <w:b/>
          <w:bCs/>
          <w:sz w:val="20"/>
        </w:rPr>
        <w:t>Figure 2A</w:t>
      </w:r>
      <w:r w:rsidRPr="009E1CED">
        <w:rPr>
          <w:rFonts w:cs="Arial"/>
          <w:sz w:val="20"/>
        </w:rPr>
        <w:t xml:space="preserve">). On the other hand, </w:t>
      </w:r>
      <w:r w:rsidRPr="009E1CED">
        <w:rPr>
          <w:rFonts w:cs="Arial"/>
          <w:i/>
          <w:iCs/>
          <w:sz w:val="20"/>
        </w:rPr>
        <w:t>Lcb. rhamnosus</w:t>
      </w:r>
      <w:r w:rsidRPr="009E1CED">
        <w:rPr>
          <w:rFonts w:cs="Arial"/>
          <w:sz w:val="20"/>
        </w:rPr>
        <w:t xml:space="preserve"> had a bacteriostatic effect while </w:t>
      </w:r>
      <w:r w:rsidRPr="009E1CED">
        <w:rPr>
          <w:rFonts w:cs="Arial"/>
          <w:i/>
          <w:iCs/>
          <w:sz w:val="20"/>
        </w:rPr>
        <w:t>L. acidophilus</w:t>
      </w:r>
      <w:r w:rsidRPr="009E1CED">
        <w:rPr>
          <w:rFonts w:cs="Arial"/>
          <w:sz w:val="20"/>
        </w:rPr>
        <w:t xml:space="preserve"> significantly reduced the growth only of two bacterial strains. </w:t>
      </w:r>
      <w:r w:rsidRPr="009E1CED">
        <w:rPr>
          <w:rFonts w:cs="Arial"/>
          <w:color w:val="000000"/>
          <w:sz w:val="20"/>
          <w:lang w:val="en-US"/>
        </w:rPr>
        <w:t xml:space="preserve">The ability of LAB to inhibit the growth of </w:t>
      </w:r>
      <w:r w:rsidRPr="009E1CED">
        <w:rPr>
          <w:rFonts w:cs="Arial"/>
          <w:i/>
          <w:iCs/>
          <w:color w:val="000000"/>
          <w:sz w:val="20"/>
          <w:lang w:val="en-US"/>
        </w:rPr>
        <w:t>P. aeruginosa</w:t>
      </w:r>
      <w:r w:rsidRPr="009E1CED">
        <w:rPr>
          <w:rFonts w:cs="Arial"/>
          <w:color w:val="000000"/>
          <w:sz w:val="20"/>
          <w:lang w:val="en-US"/>
        </w:rPr>
        <w:t xml:space="preserve"> has been attributed in other works, where the antimicrobial activity was tested on the entire suspension of LABs, to their ability to release organic acids and to lower the pH of the environment </w:t>
      </w:r>
      <w:sdt>
        <w:sdtPr>
          <w:rPr>
            <w:rFonts w:cs="Arial"/>
            <w:color w:val="000000"/>
            <w:sz w:val="20"/>
            <w:vertAlign w:val="superscript"/>
            <w:lang w:val="en-US"/>
          </w:rPr>
          <w:tag w:val="MENDELEY_CITATION_v3_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"/>
          <w:id w:val="-1909996564"/>
          <w:placeholder>
            <w:docPart w:val="612BEF8F9D71E04F975D6AD1744EDB14"/>
          </w:placeholder>
        </w:sdtPr>
        <w:sdtContent>
          <w:r w:rsidRPr="009E1CED">
            <w:rPr>
              <w:rFonts w:cs="Arial"/>
              <w:color w:val="000000"/>
              <w:sz w:val="20"/>
              <w:vertAlign w:val="superscript"/>
              <w:lang w:val="en-US"/>
            </w:rPr>
            <w:t>7</w:t>
          </w:r>
        </w:sdtContent>
      </w:sdt>
      <w:r w:rsidRPr="009E1CED">
        <w:rPr>
          <w:rFonts w:cs="Arial"/>
          <w:color w:val="000000"/>
          <w:sz w:val="20"/>
          <w:lang w:val="en-US"/>
        </w:rPr>
        <w:t xml:space="preserve">. In this regard, we found that </w:t>
      </w:r>
      <w:r w:rsidRPr="009E1CED">
        <w:rPr>
          <w:rFonts w:cs="Arial"/>
          <w:i/>
          <w:iCs/>
          <w:color w:val="000000"/>
          <w:sz w:val="20"/>
          <w:lang w:val="en-US"/>
        </w:rPr>
        <w:t>Lpb. plantarum</w:t>
      </w:r>
      <w:r w:rsidRPr="009E1CED">
        <w:rPr>
          <w:rFonts w:cs="Arial"/>
          <w:color w:val="000000"/>
          <w:sz w:val="20"/>
          <w:lang w:val="en-US"/>
        </w:rPr>
        <w:t>, which showed a bactericidal effect, had the greatest acidifying capacity, leading to a decrease of the environment pH up to 3.71 (</w:t>
      </w:r>
      <w:r w:rsidRPr="009E1CED">
        <w:rPr>
          <w:rFonts w:cs="Arial"/>
          <w:b/>
          <w:bCs/>
          <w:color w:val="000000"/>
          <w:sz w:val="20"/>
          <w:lang w:val="en-US"/>
        </w:rPr>
        <w:t>Figure 2B</w:t>
      </w:r>
      <w:r w:rsidRPr="009E1CED">
        <w:rPr>
          <w:rFonts w:cs="Arial"/>
          <w:color w:val="000000"/>
          <w:sz w:val="20"/>
          <w:lang w:val="en-US"/>
        </w:rPr>
        <w:t xml:space="preserve">). On the other hand, the </w:t>
      </w:r>
      <w:r w:rsidRPr="009E1CED">
        <w:rPr>
          <w:rFonts w:cs="Arial"/>
          <w:i/>
          <w:iCs/>
          <w:color w:val="000000"/>
          <w:sz w:val="20"/>
          <w:lang w:val="en-US"/>
        </w:rPr>
        <w:t>L. acidophilus</w:t>
      </w:r>
      <w:r w:rsidRPr="009E1CED">
        <w:rPr>
          <w:rFonts w:cs="Arial"/>
          <w:color w:val="000000"/>
          <w:sz w:val="20"/>
          <w:lang w:val="en-US"/>
        </w:rPr>
        <w:t>, which had the least antimicrobial capacity, was the one which acidified the environment the least, with a pH of 4.27.</w:t>
      </w:r>
    </w:p>
    <w:p w14:paraId="16115D56" w14:textId="77777777" w:rsidR="00E00C19" w:rsidRPr="009E1CED" w:rsidRDefault="00E00C19" w:rsidP="00E00C19">
      <w:pPr>
        <w:pStyle w:val="DDLBodyText"/>
        <w:jc w:val="center"/>
        <w:rPr>
          <w:rFonts w:cs="Arial"/>
          <w:sz w:val="20"/>
        </w:rPr>
      </w:pPr>
      <w:r w:rsidRPr="009E1CED">
        <w:rPr>
          <w:rFonts w:cs="Arial"/>
          <w:noProof/>
          <w:sz w:val="20"/>
        </w:rPr>
        <w:drawing>
          <wp:inline distT="0" distB="0" distL="0" distR="0" wp14:anchorId="01A435ED" wp14:editId="13B57594">
            <wp:extent cx="5013434" cy="1677224"/>
            <wp:effectExtent l="0" t="0" r="3175" b="0"/>
            <wp:docPr id="80936357"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357" name="Picture 1" descr="A picture containing text, screenshot, de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298" cy="1680189"/>
                    </a:xfrm>
                    <a:prstGeom prst="rect">
                      <a:avLst/>
                    </a:prstGeom>
                  </pic:spPr>
                </pic:pic>
              </a:graphicData>
            </a:graphic>
          </wp:inline>
        </w:drawing>
      </w:r>
    </w:p>
    <w:p w14:paraId="333678D2" w14:textId="77777777" w:rsidR="00E00C19" w:rsidRPr="009E1CED" w:rsidRDefault="00E00C19" w:rsidP="00E00C19">
      <w:pPr>
        <w:rPr>
          <w:rFonts w:ascii="Arial" w:hAnsi="Arial" w:cs="Arial"/>
          <w:sz w:val="20"/>
          <w:szCs w:val="20"/>
        </w:rPr>
      </w:pPr>
      <w:r w:rsidRPr="009E1CED">
        <w:rPr>
          <w:rFonts w:ascii="Arial" w:hAnsi="Arial" w:cs="Arial"/>
          <w:b/>
          <w:bCs/>
          <w:sz w:val="20"/>
          <w:szCs w:val="20"/>
        </w:rPr>
        <w:t>Figure 2. A:</w:t>
      </w:r>
      <w:r w:rsidRPr="009E1CED">
        <w:rPr>
          <w:rFonts w:ascii="Arial" w:hAnsi="Arial" w:cs="Arial"/>
          <w:sz w:val="20"/>
          <w:szCs w:val="20"/>
        </w:rPr>
        <w:t xml:space="preserve"> Antimicrobial activity of the three LABs spray-dried formulations on three different P. aeruginosa strains (n=3), *p &lt; 0.05. vs </w:t>
      </w:r>
      <w:r w:rsidRPr="009E1CED">
        <w:rPr>
          <w:rFonts w:ascii="Arial" w:hAnsi="Arial" w:cs="Arial"/>
          <w:i/>
          <w:iCs/>
          <w:sz w:val="20"/>
          <w:szCs w:val="20"/>
        </w:rPr>
        <w:t>P. aeruginosa</w:t>
      </w:r>
      <w:r w:rsidRPr="009E1CED">
        <w:rPr>
          <w:rFonts w:ascii="Arial" w:hAnsi="Arial" w:cs="Arial"/>
          <w:sz w:val="20"/>
          <w:szCs w:val="20"/>
        </w:rPr>
        <w:t xml:space="preserve"> in the absence of LABs. </w:t>
      </w:r>
      <w:r w:rsidRPr="009E1CED">
        <w:rPr>
          <w:rFonts w:ascii="Arial" w:hAnsi="Arial" w:cs="Arial"/>
          <w:b/>
          <w:bCs/>
          <w:sz w:val="20"/>
          <w:szCs w:val="20"/>
        </w:rPr>
        <w:t>B</w:t>
      </w:r>
      <w:r w:rsidRPr="009E1CED">
        <w:rPr>
          <w:rFonts w:ascii="Arial" w:hAnsi="Arial" w:cs="Arial"/>
          <w:sz w:val="20"/>
          <w:szCs w:val="20"/>
        </w:rPr>
        <w:t xml:space="preserve">: pH obtained in the culture medium of the three LABs spray-dried formulations. </w:t>
      </w:r>
    </w:p>
    <w:p w14:paraId="4BC5DC31" w14:textId="77777777" w:rsidR="00E00C19" w:rsidRPr="009E1CED" w:rsidRDefault="00E00C19" w:rsidP="00E00C19">
      <w:pPr>
        <w:pStyle w:val="DDLHeading1"/>
        <w:rPr>
          <w:rFonts w:cs="Arial"/>
          <w:color w:val="000000"/>
          <w:kern w:val="0"/>
          <w:sz w:val="20"/>
          <w:szCs w:val="20"/>
          <w:lang w:val="en-US"/>
        </w:rPr>
      </w:pPr>
      <w:r w:rsidRPr="009E1CED">
        <w:rPr>
          <w:rFonts w:cs="Arial"/>
          <w:color w:val="000000"/>
          <w:kern w:val="0"/>
          <w:sz w:val="20"/>
          <w:szCs w:val="20"/>
          <w:lang w:val="en-US"/>
        </w:rPr>
        <w:lastRenderedPageBreak/>
        <w:t>Conclusions</w:t>
      </w:r>
    </w:p>
    <w:p w14:paraId="009D1DB8" w14:textId="77777777" w:rsidR="00E00C19" w:rsidRPr="009E1CED" w:rsidRDefault="00E00C19" w:rsidP="00E00C19">
      <w:pPr>
        <w:pStyle w:val="DDLBodyText"/>
        <w:rPr>
          <w:rFonts w:cs="Arial"/>
          <w:sz w:val="20"/>
        </w:rPr>
      </w:pPr>
      <w:r w:rsidRPr="009E1CED">
        <w:rPr>
          <w:rFonts w:cs="Arial"/>
          <w:sz w:val="20"/>
        </w:rPr>
        <w:t xml:space="preserve">Overall, the work demonstrates how, by applying a multidisciplinary approach, it was possible to obtain respirable powders containing viable probiotics which preserved their antimicrobial activity against </w:t>
      </w:r>
      <w:r w:rsidRPr="009E1CED">
        <w:rPr>
          <w:rFonts w:cs="Arial"/>
          <w:i/>
          <w:iCs/>
          <w:sz w:val="20"/>
        </w:rPr>
        <w:t>P. aeruginosa</w:t>
      </w:r>
      <w:r w:rsidRPr="009E1CED">
        <w:rPr>
          <w:rFonts w:cs="Arial"/>
          <w:sz w:val="20"/>
        </w:rPr>
        <w:t xml:space="preserve">, a clinically relevant pathogen in CF patients. </w:t>
      </w:r>
      <w:r w:rsidRPr="009E1CED">
        <w:rPr>
          <w:rFonts w:cs="Arial"/>
          <w:color w:val="000000"/>
          <w:sz w:val="20"/>
          <w:lang w:val="en-US"/>
        </w:rPr>
        <w:t xml:space="preserve">The work represents a promising starting point to explore the modulation of the pulmonary microbiota following the administration of a probiotic directly in contact with the local microflora. </w:t>
      </w:r>
    </w:p>
    <w:p w14:paraId="2689CE1F" w14:textId="77777777" w:rsidR="00E00C19" w:rsidRPr="009E1CED" w:rsidRDefault="00E00C19" w:rsidP="00E00C19">
      <w:pPr>
        <w:pStyle w:val="DDLHeading1"/>
        <w:rPr>
          <w:rFonts w:cs="Arial"/>
          <w:color w:val="000000" w:themeColor="text1"/>
          <w:sz w:val="20"/>
          <w:szCs w:val="20"/>
          <w:lang w:val="fr-FR"/>
        </w:rPr>
      </w:pPr>
      <w:r w:rsidRPr="009E1CED">
        <w:rPr>
          <w:rFonts w:cs="Arial"/>
          <w:color w:val="000000" w:themeColor="text1"/>
          <w:sz w:val="20"/>
          <w:szCs w:val="20"/>
          <w:lang w:val="fr-FR"/>
        </w:rPr>
        <w:t>References</w:t>
      </w:r>
    </w:p>
    <w:sdt>
      <w:sdtPr>
        <w:rPr>
          <w:rFonts w:ascii="Arial" w:hAnsi="Arial" w:cs="Arial"/>
          <w:sz w:val="20"/>
          <w:szCs w:val="20"/>
          <w:lang w:val="en-US"/>
        </w:rPr>
        <w:tag w:val="MENDELEY_BIBLIOGRAPHY"/>
        <w:id w:val="1200972399"/>
        <w:placeholder>
          <w:docPart w:val="887BBAC9B8941244B7D0FDCAFC93183E"/>
        </w:placeholder>
      </w:sdtPr>
      <w:sdtContent>
        <w:p w14:paraId="0FB55089" w14:textId="77777777" w:rsidR="00E00C19" w:rsidRPr="009E1CED" w:rsidRDefault="00E00C19" w:rsidP="00E00C19">
          <w:pPr>
            <w:autoSpaceDE w:val="0"/>
            <w:autoSpaceDN w:val="0"/>
            <w:spacing w:after="0"/>
            <w:ind w:hanging="640"/>
            <w:rPr>
              <w:rFonts w:ascii="Arial" w:hAnsi="Arial" w:cs="Arial"/>
              <w:sz w:val="20"/>
              <w:szCs w:val="20"/>
              <w:lang w:val="fr-FR"/>
            </w:rPr>
          </w:pPr>
          <w:r w:rsidRPr="009E1CED">
            <w:rPr>
              <w:rFonts w:ascii="Arial" w:hAnsi="Arial" w:cs="Arial"/>
              <w:sz w:val="20"/>
              <w:szCs w:val="20"/>
              <w:lang w:val="fr-FR"/>
            </w:rPr>
            <w:t>1.</w:t>
          </w:r>
          <w:r w:rsidRPr="009E1CED">
            <w:rPr>
              <w:rFonts w:ascii="Arial" w:hAnsi="Arial" w:cs="Arial"/>
              <w:sz w:val="20"/>
              <w:szCs w:val="20"/>
              <w:lang w:val="fr-FR"/>
            </w:rPr>
            <w:tab/>
            <w:t xml:space="preserve">Zhang, D. </w:t>
          </w:r>
          <w:r w:rsidRPr="009E1CED">
            <w:rPr>
              <w:rFonts w:ascii="Arial" w:hAnsi="Arial" w:cs="Arial"/>
              <w:i/>
              <w:iCs/>
              <w:sz w:val="20"/>
              <w:szCs w:val="20"/>
              <w:lang w:val="fr-FR"/>
            </w:rPr>
            <w:t>et al.</w:t>
          </w:r>
          <w:r w:rsidRPr="009E1CED">
            <w:rPr>
              <w:rFonts w:ascii="Arial" w:hAnsi="Arial" w:cs="Arial"/>
              <w:sz w:val="20"/>
              <w:szCs w:val="20"/>
              <w:lang w:val="fr-FR"/>
            </w:rPr>
            <w:t xml:space="preserve"> </w:t>
          </w:r>
          <w:r w:rsidRPr="009E1CED">
            <w:rPr>
              <w:rFonts w:ascii="Arial" w:hAnsi="Arial" w:cs="Arial"/>
              <w:i/>
              <w:iCs/>
              <w:sz w:val="20"/>
              <w:szCs w:val="20"/>
              <w:lang w:val="fr-FR"/>
            </w:rPr>
            <w:t>Front Microbiol</w:t>
          </w:r>
          <w:r w:rsidRPr="009E1CED">
            <w:rPr>
              <w:rFonts w:ascii="Arial" w:hAnsi="Arial" w:cs="Arial"/>
              <w:sz w:val="20"/>
              <w:szCs w:val="20"/>
              <w:lang w:val="fr-FR"/>
            </w:rPr>
            <w:t xml:space="preserve"> </w:t>
          </w:r>
          <w:r w:rsidRPr="009E1CED">
            <w:rPr>
              <w:rFonts w:ascii="Arial" w:hAnsi="Arial" w:cs="Arial"/>
              <w:b/>
              <w:bCs/>
              <w:sz w:val="20"/>
              <w:szCs w:val="20"/>
              <w:lang w:val="fr-FR"/>
            </w:rPr>
            <w:t>11</w:t>
          </w:r>
          <w:r w:rsidRPr="009E1CED">
            <w:rPr>
              <w:rFonts w:ascii="Arial" w:hAnsi="Arial" w:cs="Arial"/>
              <w:sz w:val="20"/>
              <w:szCs w:val="20"/>
              <w:lang w:val="fr-FR"/>
            </w:rPr>
            <w:t>, 1–14 (2020).</w:t>
          </w:r>
        </w:p>
        <w:p w14:paraId="39DF4B82" w14:textId="77777777" w:rsidR="00E00C19" w:rsidRPr="009E1CED" w:rsidRDefault="00E00C19" w:rsidP="00E00C19">
          <w:pPr>
            <w:autoSpaceDE w:val="0"/>
            <w:autoSpaceDN w:val="0"/>
            <w:spacing w:after="0"/>
            <w:ind w:hanging="640"/>
            <w:rPr>
              <w:rFonts w:ascii="Arial" w:hAnsi="Arial" w:cs="Arial"/>
              <w:sz w:val="20"/>
              <w:szCs w:val="20"/>
              <w:lang w:val="fr-FR"/>
            </w:rPr>
          </w:pPr>
          <w:r w:rsidRPr="009E1CED">
            <w:rPr>
              <w:rFonts w:ascii="Arial" w:hAnsi="Arial" w:cs="Arial"/>
              <w:sz w:val="20"/>
              <w:szCs w:val="20"/>
              <w:lang w:val="fr-FR"/>
            </w:rPr>
            <w:t>2.</w:t>
          </w:r>
          <w:r w:rsidRPr="009E1CED">
            <w:rPr>
              <w:rFonts w:ascii="Arial" w:hAnsi="Arial" w:cs="Arial"/>
              <w:sz w:val="20"/>
              <w:szCs w:val="20"/>
              <w:lang w:val="fr-FR"/>
            </w:rPr>
            <w:tab/>
            <w:t xml:space="preserve">Spacova, I. </w:t>
          </w:r>
          <w:r w:rsidRPr="009E1CED">
            <w:rPr>
              <w:rFonts w:ascii="Arial" w:hAnsi="Arial" w:cs="Arial"/>
              <w:i/>
              <w:iCs/>
              <w:sz w:val="20"/>
              <w:szCs w:val="20"/>
              <w:lang w:val="fr-FR"/>
            </w:rPr>
            <w:t>et al.</w:t>
          </w:r>
          <w:r w:rsidRPr="009E1CED">
            <w:rPr>
              <w:rFonts w:ascii="Arial" w:hAnsi="Arial" w:cs="Arial"/>
              <w:sz w:val="20"/>
              <w:szCs w:val="20"/>
              <w:lang w:val="fr-FR"/>
            </w:rPr>
            <w:t xml:space="preserve"> </w:t>
          </w:r>
          <w:r w:rsidRPr="009E1CED">
            <w:rPr>
              <w:rFonts w:ascii="Arial" w:hAnsi="Arial" w:cs="Arial"/>
              <w:i/>
              <w:iCs/>
              <w:sz w:val="20"/>
              <w:szCs w:val="20"/>
              <w:lang w:val="fr-FR"/>
            </w:rPr>
            <w:t>Microb Biotechnol</w:t>
          </w:r>
          <w:r w:rsidRPr="009E1CED">
            <w:rPr>
              <w:rFonts w:ascii="Arial" w:hAnsi="Arial" w:cs="Arial"/>
              <w:sz w:val="20"/>
              <w:szCs w:val="20"/>
              <w:lang w:val="fr-FR"/>
            </w:rPr>
            <w:t xml:space="preserve"> </w:t>
          </w:r>
          <w:r w:rsidRPr="009E1CED">
            <w:rPr>
              <w:rFonts w:ascii="Arial" w:hAnsi="Arial" w:cs="Arial"/>
              <w:b/>
              <w:bCs/>
              <w:sz w:val="20"/>
              <w:szCs w:val="20"/>
              <w:lang w:val="fr-FR"/>
            </w:rPr>
            <w:t>16</w:t>
          </w:r>
          <w:r w:rsidRPr="009E1CED">
            <w:rPr>
              <w:rFonts w:ascii="Arial" w:hAnsi="Arial" w:cs="Arial"/>
              <w:sz w:val="20"/>
              <w:szCs w:val="20"/>
              <w:lang w:val="fr-FR"/>
            </w:rPr>
            <w:t>, 99–115 (2023).</w:t>
          </w:r>
        </w:p>
        <w:p w14:paraId="4660911B" w14:textId="77777777" w:rsidR="00E00C19" w:rsidRPr="009E1CED" w:rsidRDefault="00E00C19" w:rsidP="00E00C19">
          <w:pPr>
            <w:autoSpaceDE w:val="0"/>
            <w:autoSpaceDN w:val="0"/>
            <w:spacing w:after="0"/>
            <w:ind w:hanging="640"/>
            <w:rPr>
              <w:rFonts w:ascii="Arial" w:hAnsi="Arial" w:cs="Arial"/>
              <w:sz w:val="20"/>
              <w:szCs w:val="20"/>
              <w:lang w:val="fr-FR"/>
            </w:rPr>
          </w:pPr>
          <w:r w:rsidRPr="009E1CED">
            <w:rPr>
              <w:rFonts w:ascii="Arial" w:hAnsi="Arial" w:cs="Arial"/>
              <w:sz w:val="20"/>
              <w:szCs w:val="20"/>
              <w:lang w:val="fr-FR"/>
            </w:rPr>
            <w:t>3.</w:t>
          </w:r>
          <w:r w:rsidRPr="009E1CED">
            <w:rPr>
              <w:rFonts w:ascii="Arial" w:hAnsi="Arial" w:cs="Arial"/>
              <w:sz w:val="20"/>
              <w:szCs w:val="20"/>
              <w:lang w:val="fr-FR"/>
            </w:rPr>
            <w:tab/>
            <w:t xml:space="preserve">De Boeck, I., </w:t>
          </w:r>
          <w:r w:rsidRPr="009E1CED">
            <w:rPr>
              <w:rFonts w:ascii="Arial" w:hAnsi="Arial" w:cs="Arial"/>
              <w:i/>
              <w:iCs/>
              <w:sz w:val="20"/>
              <w:szCs w:val="20"/>
              <w:lang w:val="fr-FR"/>
            </w:rPr>
            <w:t>et al.</w:t>
          </w:r>
          <w:r w:rsidRPr="009E1CED">
            <w:rPr>
              <w:rFonts w:ascii="Arial" w:hAnsi="Arial" w:cs="Arial"/>
              <w:sz w:val="20"/>
              <w:szCs w:val="20"/>
              <w:lang w:val="fr-FR"/>
            </w:rPr>
            <w:t xml:space="preserve"> </w:t>
          </w:r>
          <w:r w:rsidRPr="009E1CED">
            <w:rPr>
              <w:rFonts w:ascii="Arial" w:hAnsi="Arial" w:cs="Arial"/>
              <w:i/>
              <w:iCs/>
              <w:sz w:val="20"/>
              <w:szCs w:val="20"/>
              <w:lang w:val="fr-FR"/>
            </w:rPr>
            <w:t>Microb Biotechnol</w:t>
          </w:r>
          <w:r w:rsidRPr="009E1CED">
            <w:rPr>
              <w:rFonts w:ascii="Arial" w:hAnsi="Arial" w:cs="Arial"/>
              <w:sz w:val="20"/>
              <w:szCs w:val="20"/>
              <w:lang w:val="fr-FR"/>
            </w:rPr>
            <w:t xml:space="preserve"> </w:t>
          </w:r>
          <w:r w:rsidRPr="009E1CED">
            <w:rPr>
              <w:rFonts w:ascii="Arial" w:hAnsi="Arial" w:cs="Arial"/>
              <w:b/>
              <w:bCs/>
              <w:sz w:val="20"/>
              <w:szCs w:val="20"/>
              <w:lang w:val="fr-FR"/>
            </w:rPr>
            <w:t>14</w:t>
          </w:r>
          <w:r w:rsidRPr="009E1CED">
            <w:rPr>
              <w:rFonts w:ascii="Arial" w:hAnsi="Arial" w:cs="Arial"/>
              <w:sz w:val="20"/>
              <w:szCs w:val="20"/>
              <w:lang w:val="fr-FR"/>
            </w:rPr>
            <w:t>, 859–869 (2021).</w:t>
          </w:r>
        </w:p>
        <w:p w14:paraId="01AB96EC" w14:textId="77777777" w:rsidR="00E00C19" w:rsidRPr="009E1CED" w:rsidRDefault="00E00C19" w:rsidP="00E00C19">
          <w:pPr>
            <w:autoSpaceDE w:val="0"/>
            <w:autoSpaceDN w:val="0"/>
            <w:spacing w:after="0"/>
            <w:ind w:hanging="640"/>
            <w:rPr>
              <w:rFonts w:ascii="Arial" w:hAnsi="Arial" w:cs="Arial"/>
              <w:sz w:val="20"/>
              <w:szCs w:val="20"/>
            </w:rPr>
          </w:pPr>
          <w:r w:rsidRPr="009E1CED">
            <w:rPr>
              <w:rFonts w:ascii="Arial" w:hAnsi="Arial" w:cs="Arial"/>
              <w:sz w:val="20"/>
              <w:szCs w:val="20"/>
              <w:lang w:val="fr-FR"/>
            </w:rPr>
            <w:t>4.</w:t>
          </w:r>
          <w:r w:rsidRPr="009E1CED">
            <w:rPr>
              <w:rFonts w:ascii="Arial" w:hAnsi="Arial" w:cs="Arial"/>
              <w:sz w:val="20"/>
              <w:szCs w:val="20"/>
              <w:lang w:val="fr-FR"/>
            </w:rPr>
            <w:tab/>
            <w:t xml:space="preserve">Bruzzese, E. </w:t>
          </w:r>
          <w:r w:rsidRPr="009E1CED">
            <w:rPr>
              <w:rFonts w:ascii="Arial" w:hAnsi="Arial" w:cs="Arial"/>
              <w:i/>
              <w:iCs/>
              <w:sz w:val="20"/>
              <w:szCs w:val="20"/>
              <w:lang w:val="fr-FR"/>
            </w:rPr>
            <w:t>et al.</w:t>
          </w:r>
          <w:r w:rsidRPr="009E1CED">
            <w:rPr>
              <w:rFonts w:ascii="Arial" w:hAnsi="Arial" w:cs="Arial"/>
              <w:sz w:val="20"/>
              <w:szCs w:val="20"/>
              <w:lang w:val="fr-FR"/>
            </w:rPr>
            <w:t xml:space="preserve"> </w:t>
          </w:r>
          <w:r w:rsidRPr="009E1CED">
            <w:rPr>
              <w:rFonts w:ascii="Arial" w:hAnsi="Arial" w:cs="Arial"/>
              <w:i/>
              <w:iCs/>
              <w:sz w:val="20"/>
              <w:szCs w:val="20"/>
            </w:rPr>
            <w:t>Clinical Nutrition</w:t>
          </w:r>
          <w:r w:rsidRPr="009E1CED">
            <w:rPr>
              <w:rFonts w:ascii="Arial" w:hAnsi="Arial" w:cs="Arial"/>
              <w:sz w:val="20"/>
              <w:szCs w:val="20"/>
            </w:rPr>
            <w:t xml:space="preserve"> </w:t>
          </w:r>
          <w:r w:rsidRPr="009E1CED">
            <w:rPr>
              <w:rFonts w:ascii="Arial" w:hAnsi="Arial" w:cs="Arial"/>
              <w:b/>
              <w:bCs/>
              <w:sz w:val="20"/>
              <w:szCs w:val="20"/>
            </w:rPr>
            <w:t>26</w:t>
          </w:r>
          <w:r w:rsidRPr="009E1CED">
            <w:rPr>
              <w:rFonts w:ascii="Arial" w:hAnsi="Arial" w:cs="Arial"/>
              <w:sz w:val="20"/>
              <w:szCs w:val="20"/>
            </w:rPr>
            <w:t>, 322–328 (2007).</w:t>
          </w:r>
        </w:p>
        <w:p w14:paraId="2EC9949B" w14:textId="77777777" w:rsidR="00E00C19" w:rsidRPr="009E1CED" w:rsidRDefault="00E00C19" w:rsidP="00E00C19">
          <w:pPr>
            <w:autoSpaceDE w:val="0"/>
            <w:autoSpaceDN w:val="0"/>
            <w:spacing w:after="0"/>
            <w:ind w:hanging="640"/>
            <w:rPr>
              <w:rFonts w:ascii="Arial" w:hAnsi="Arial" w:cs="Arial"/>
              <w:sz w:val="20"/>
              <w:szCs w:val="20"/>
            </w:rPr>
          </w:pPr>
          <w:r w:rsidRPr="009E1CED">
            <w:rPr>
              <w:rFonts w:ascii="Arial" w:hAnsi="Arial" w:cs="Arial"/>
              <w:sz w:val="20"/>
              <w:szCs w:val="20"/>
            </w:rPr>
            <w:t>5.</w:t>
          </w:r>
          <w:r w:rsidRPr="009E1CED">
            <w:rPr>
              <w:rFonts w:ascii="Arial" w:hAnsi="Arial" w:cs="Arial"/>
              <w:sz w:val="20"/>
              <w:szCs w:val="20"/>
            </w:rPr>
            <w:tab/>
            <w:t xml:space="preserve">Killeit, U. </w:t>
          </w:r>
          <w:r w:rsidRPr="009E1CED">
            <w:rPr>
              <w:rFonts w:ascii="Arial" w:hAnsi="Arial" w:cs="Arial"/>
              <w:i/>
              <w:iCs/>
              <w:sz w:val="20"/>
              <w:szCs w:val="20"/>
            </w:rPr>
            <w:t>Deutsche Lebensmittel-Rundschau</w:t>
          </w:r>
          <w:r w:rsidRPr="009E1CED">
            <w:rPr>
              <w:rFonts w:ascii="Arial" w:hAnsi="Arial" w:cs="Arial"/>
              <w:sz w:val="20"/>
              <w:szCs w:val="20"/>
            </w:rPr>
            <w:t xml:space="preserve"> </w:t>
          </w:r>
          <w:r w:rsidRPr="009E1CED">
            <w:rPr>
              <w:rFonts w:ascii="Arial" w:hAnsi="Arial" w:cs="Arial"/>
              <w:b/>
              <w:bCs/>
              <w:sz w:val="20"/>
              <w:szCs w:val="20"/>
            </w:rPr>
            <w:t>118</w:t>
          </w:r>
          <w:r w:rsidRPr="009E1CED">
            <w:rPr>
              <w:rFonts w:ascii="Arial" w:hAnsi="Arial" w:cs="Arial"/>
              <w:sz w:val="20"/>
              <w:szCs w:val="20"/>
            </w:rPr>
            <w:t>, (2022).</w:t>
          </w:r>
        </w:p>
        <w:p w14:paraId="0656D2FC" w14:textId="77777777" w:rsidR="00E00C19" w:rsidRPr="009E1CED" w:rsidRDefault="00E00C19" w:rsidP="00E00C19">
          <w:pPr>
            <w:autoSpaceDE w:val="0"/>
            <w:autoSpaceDN w:val="0"/>
            <w:spacing w:after="0"/>
            <w:ind w:hanging="640"/>
            <w:rPr>
              <w:rFonts w:ascii="Arial" w:hAnsi="Arial" w:cs="Arial"/>
              <w:sz w:val="20"/>
              <w:szCs w:val="20"/>
              <w:lang w:val="it-IT"/>
            </w:rPr>
          </w:pPr>
          <w:r w:rsidRPr="009E1CED">
            <w:rPr>
              <w:rFonts w:ascii="Arial" w:hAnsi="Arial" w:cs="Arial"/>
              <w:sz w:val="20"/>
              <w:szCs w:val="20"/>
              <w:lang w:val="it-IT"/>
            </w:rPr>
            <w:t>6.</w:t>
          </w:r>
          <w:r w:rsidRPr="009E1CED">
            <w:rPr>
              <w:rFonts w:ascii="Arial" w:hAnsi="Arial" w:cs="Arial"/>
              <w:sz w:val="20"/>
              <w:szCs w:val="20"/>
              <w:lang w:val="it-IT"/>
            </w:rPr>
            <w:tab/>
            <w:t xml:space="preserve">Sengupta, R. </w:t>
          </w:r>
          <w:r w:rsidRPr="009E1CED">
            <w:rPr>
              <w:rFonts w:ascii="Arial" w:hAnsi="Arial" w:cs="Arial"/>
              <w:i/>
              <w:iCs/>
              <w:sz w:val="20"/>
              <w:szCs w:val="20"/>
              <w:lang w:val="it-IT"/>
            </w:rPr>
            <w:t>et al.</w:t>
          </w:r>
          <w:r w:rsidRPr="009E1CED">
            <w:rPr>
              <w:rFonts w:ascii="Arial" w:hAnsi="Arial" w:cs="Arial"/>
              <w:sz w:val="20"/>
              <w:szCs w:val="20"/>
              <w:lang w:val="it-IT"/>
            </w:rPr>
            <w:t xml:space="preserve"> </w:t>
          </w:r>
          <w:r w:rsidRPr="009E1CED">
            <w:rPr>
              <w:rFonts w:ascii="Arial" w:hAnsi="Arial" w:cs="Arial"/>
              <w:i/>
              <w:iCs/>
              <w:sz w:val="20"/>
              <w:szCs w:val="20"/>
              <w:lang w:val="it-IT"/>
            </w:rPr>
            <w:t>Mediators Inflamm</w:t>
          </w:r>
          <w:r w:rsidRPr="009E1CED">
            <w:rPr>
              <w:rFonts w:ascii="Arial" w:hAnsi="Arial" w:cs="Arial"/>
              <w:sz w:val="20"/>
              <w:szCs w:val="20"/>
              <w:lang w:val="it-IT"/>
            </w:rPr>
            <w:t xml:space="preserve"> </w:t>
          </w:r>
          <w:r w:rsidRPr="009E1CED">
            <w:rPr>
              <w:rFonts w:ascii="Arial" w:hAnsi="Arial" w:cs="Arial"/>
              <w:b/>
              <w:bCs/>
              <w:sz w:val="20"/>
              <w:szCs w:val="20"/>
              <w:lang w:val="it-IT"/>
            </w:rPr>
            <w:t>2013</w:t>
          </w:r>
          <w:r w:rsidRPr="009E1CED">
            <w:rPr>
              <w:rFonts w:ascii="Arial" w:hAnsi="Arial" w:cs="Arial"/>
              <w:sz w:val="20"/>
              <w:szCs w:val="20"/>
              <w:lang w:val="it-IT"/>
            </w:rPr>
            <w:t>, (2013).</w:t>
          </w:r>
        </w:p>
        <w:p w14:paraId="4BE8BB67" w14:textId="77777777" w:rsidR="00E00C19" w:rsidRPr="009E1CED" w:rsidRDefault="00E00C19" w:rsidP="00E00C19">
          <w:pPr>
            <w:autoSpaceDE w:val="0"/>
            <w:autoSpaceDN w:val="0"/>
            <w:spacing w:after="0"/>
            <w:ind w:hanging="640"/>
            <w:rPr>
              <w:rFonts w:ascii="Arial" w:hAnsi="Arial" w:cs="Arial"/>
              <w:sz w:val="20"/>
              <w:szCs w:val="20"/>
              <w:lang w:val="it-IT"/>
            </w:rPr>
          </w:pPr>
          <w:r w:rsidRPr="009E1CED">
            <w:rPr>
              <w:rFonts w:ascii="Arial" w:hAnsi="Arial" w:cs="Arial"/>
              <w:sz w:val="20"/>
              <w:szCs w:val="20"/>
            </w:rPr>
            <w:t>7.</w:t>
          </w:r>
          <w:r w:rsidRPr="009E1CED">
            <w:rPr>
              <w:rFonts w:ascii="Arial" w:hAnsi="Arial" w:cs="Arial"/>
              <w:sz w:val="20"/>
              <w:szCs w:val="20"/>
            </w:rPr>
            <w:tab/>
            <w:t xml:space="preserve">Shokri, D. </w:t>
          </w:r>
          <w:r w:rsidRPr="009E1CED">
            <w:rPr>
              <w:rFonts w:ascii="Arial" w:hAnsi="Arial" w:cs="Arial"/>
              <w:i/>
              <w:iCs/>
              <w:sz w:val="20"/>
              <w:szCs w:val="20"/>
            </w:rPr>
            <w:t>et al.</w:t>
          </w:r>
          <w:r w:rsidRPr="009E1CED">
            <w:rPr>
              <w:rFonts w:ascii="Arial" w:hAnsi="Arial" w:cs="Arial"/>
              <w:sz w:val="20"/>
              <w:szCs w:val="20"/>
            </w:rPr>
            <w:t xml:space="preserve"> </w:t>
          </w:r>
          <w:r w:rsidRPr="009E1CED">
            <w:rPr>
              <w:rFonts w:ascii="Arial" w:hAnsi="Arial" w:cs="Arial"/>
              <w:i/>
              <w:iCs/>
              <w:sz w:val="20"/>
              <w:szCs w:val="20"/>
            </w:rPr>
            <w:t>Probiotics Antimicrob Proteins</w:t>
          </w:r>
          <w:r w:rsidRPr="009E1CED">
            <w:rPr>
              <w:rFonts w:ascii="Arial" w:hAnsi="Arial" w:cs="Arial"/>
              <w:sz w:val="20"/>
              <w:szCs w:val="20"/>
            </w:rPr>
            <w:t xml:space="preserve"> </w:t>
          </w:r>
          <w:r w:rsidRPr="009E1CED">
            <w:rPr>
              <w:rFonts w:ascii="Arial" w:hAnsi="Arial" w:cs="Arial"/>
              <w:b/>
              <w:bCs/>
              <w:sz w:val="20"/>
              <w:szCs w:val="20"/>
            </w:rPr>
            <w:t>10</w:t>
          </w:r>
          <w:r w:rsidRPr="009E1CED">
            <w:rPr>
              <w:rFonts w:ascii="Arial" w:hAnsi="Arial" w:cs="Arial"/>
              <w:sz w:val="20"/>
              <w:szCs w:val="20"/>
            </w:rPr>
            <w:t>, 34–42 (2018).</w:t>
          </w:r>
        </w:p>
      </w:sdtContent>
    </w:sdt>
    <w:p w14:paraId="3A6A3E8D" w14:textId="77777777" w:rsidR="00E00C19" w:rsidRPr="009E1CED" w:rsidRDefault="00E00C19" w:rsidP="00E00C19">
      <w:pPr>
        <w:pStyle w:val="DDLBodyText"/>
        <w:rPr>
          <w:rFonts w:cs="Arial"/>
          <w:sz w:val="20"/>
        </w:rPr>
      </w:pPr>
    </w:p>
    <w:p w14:paraId="4DF87C40" w14:textId="47792115" w:rsidR="00E00C19" w:rsidRPr="009E1CED" w:rsidRDefault="00E00C19" w:rsidP="001F6FEE">
      <w:pPr>
        <w:jc w:val="both"/>
        <w:rPr>
          <w:rFonts w:ascii="Arial" w:hAnsi="Arial" w:cs="Arial"/>
          <w:b/>
          <w:bCs/>
          <w:sz w:val="20"/>
          <w:szCs w:val="20"/>
        </w:rPr>
      </w:pPr>
    </w:p>
    <w:p w14:paraId="78632EBB" w14:textId="77777777" w:rsidR="003D0EB3" w:rsidRPr="009E1CED" w:rsidRDefault="003D0EB3" w:rsidP="001F6FEE">
      <w:pPr>
        <w:jc w:val="both"/>
        <w:rPr>
          <w:rFonts w:ascii="Arial" w:hAnsi="Arial" w:cs="Arial"/>
          <w:b/>
          <w:bCs/>
          <w:sz w:val="20"/>
          <w:szCs w:val="20"/>
        </w:rPr>
      </w:pPr>
    </w:p>
    <w:p w14:paraId="1FA9E85D" w14:textId="77777777" w:rsidR="003D0EB3" w:rsidRPr="009E1CED" w:rsidRDefault="003D0EB3" w:rsidP="001F6FEE">
      <w:pPr>
        <w:jc w:val="both"/>
        <w:rPr>
          <w:rFonts w:ascii="Arial" w:hAnsi="Arial" w:cs="Arial"/>
          <w:b/>
          <w:bCs/>
          <w:sz w:val="20"/>
          <w:szCs w:val="20"/>
        </w:rPr>
      </w:pPr>
    </w:p>
    <w:p w14:paraId="4CF2D785" w14:textId="77777777" w:rsidR="003D0EB3" w:rsidRPr="009E1CED" w:rsidRDefault="003D0EB3" w:rsidP="001F6FEE">
      <w:pPr>
        <w:jc w:val="both"/>
        <w:rPr>
          <w:rFonts w:ascii="Arial" w:hAnsi="Arial" w:cs="Arial"/>
          <w:b/>
          <w:bCs/>
          <w:sz w:val="20"/>
          <w:szCs w:val="20"/>
        </w:rPr>
      </w:pPr>
    </w:p>
    <w:p w14:paraId="7092A161" w14:textId="77777777" w:rsidR="003D0EB3" w:rsidRPr="009E1CED" w:rsidRDefault="003D0EB3" w:rsidP="001F6FEE">
      <w:pPr>
        <w:jc w:val="both"/>
        <w:rPr>
          <w:rFonts w:ascii="Arial" w:hAnsi="Arial" w:cs="Arial"/>
          <w:b/>
          <w:bCs/>
          <w:sz w:val="20"/>
          <w:szCs w:val="20"/>
        </w:rPr>
      </w:pPr>
    </w:p>
    <w:p w14:paraId="4E5504A8" w14:textId="77777777" w:rsidR="003D0EB3" w:rsidRPr="009E1CED" w:rsidRDefault="003D0EB3" w:rsidP="001F6FEE">
      <w:pPr>
        <w:jc w:val="both"/>
        <w:rPr>
          <w:rFonts w:ascii="Arial" w:hAnsi="Arial" w:cs="Arial"/>
          <w:b/>
          <w:bCs/>
          <w:sz w:val="20"/>
          <w:szCs w:val="20"/>
        </w:rPr>
      </w:pPr>
    </w:p>
    <w:p w14:paraId="5CD0379B" w14:textId="77777777" w:rsidR="003D0EB3" w:rsidRPr="009E1CED" w:rsidRDefault="003D0EB3" w:rsidP="001F6FEE">
      <w:pPr>
        <w:jc w:val="both"/>
        <w:rPr>
          <w:rFonts w:ascii="Arial" w:hAnsi="Arial" w:cs="Arial"/>
          <w:b/>
          <w:bCs/>
          <w:sz w:val="20"/>
          <w:szCs w:val="20"/>
        </w:rPr>
      </w:pPr>
    </w:p>
    <w:p w14:paraId="75893BF6" w14:textId="77777777" w:rsidR="003D0EB3" w:rsidRPr="009E1CED" w:rsidRDefault="003D0EB3" w:rsidP="001F6FEE">
      <w:pPr>
        <w:jc w:val="both"/>
        <w:rPr>
          <w:rFonts w:ascii="Arial" w:hAnsi="Arial" w:cs="Arial"/>
          <w:b/>
          <w:bCs/>
          <w:sz w:val="20"/>
          <w:szCs w:val="20"/>
        </w:rPr>
      </w:pPr>
    </w:p>
    <w:p w14:paraId="012B7110" w14:textId="77777777" w:rsidR="003D0EB3" w:rsidRPr="009E1CED" w:rsidRDefault="003D0EB3" w:rsidP="001F6FEE">
      <w:pPr>
        <w:jc w:val="both"/>
        <w:rPr>
          <w:rFonts w:ascii="Arial" w:hAnsi="Arial" w:cs="Arial"/>
          <w:b/>
          <w:bCs/>
          <w:sz w:val="20"/>
          <w:szCs w:val="20"/>
        </w:rPr>
      </w:pPr>
    </w:p>
    <w:p w14:paraId="7AD84AC9" w14:textId="77777777" w:rsidR="003D0EB3" w:rsidRPr="009E1CED" w:rsidRDefault="003D0EB3" w:rsidP="001F6FEE">
      <w:pPr>
        <w:jc w:val="both"/>
        <w:rPr>
          <w:rFonts w:ascii="Arial" w:hAnsi="Arial" w:cs="Arial"/>
          <w:b/>
          <w:bCs/>
          <w:sz w:val="20"/>
          <w:szCs w:val="20"/>
        </w:rPr>
      </w:pPr>
    </w:p>
    <w:p w14:paraId="3604D987" w14:textId="77777777" w:rsidR="003D0EB3" w:rsidRPr="009E1CED" w:rsidRDefault="003D0EB3" w:rsidP="001F6FEE">
      <w:pPr>
        <w:jc w:val="both"/>
        <w:rPr>
          <w:rFonts w:ascii="Arial" w:hAnsi="Arial" w:cs="Arial"/>
          <w:b/>
          <w:bCs/>
          <w:sz w:val="20"/>
          <w:szCs w:val="20"/>
        </w:rPr>
      </w:pPr>
    </w:p>
    <w:p w14:paraId="43178151" w14:textId="77777777" w:rsidR="003D0EB3" w:rsidRPr="009E1CED" w:rsidRDefault="003D0EB3" w:rsidP="001F6FEE">
      <w:pPr>
        <w:jc w:val="both"/>
        <w:rPr>
          <w:rFonts w:ascii="Arial" w:hAnsi="Arial" w:cs="Arial"/>
          <w:b/>
          <w:bCs/>
          <w:sz w:val="20"/>
          <w:szCs w:val="20"/>
        </w:rPr>
      </w:pPr>
    </w:p>
    <w:p w14:paraId="71C5D937" w14:textId="77777777" w:rsidR="003D0EB3" w:rsidRPr="009E1CED" w:rsidRDefault="003D0EB3" w:rsidP="001F6FEE">
      <w:pPr>
        <w:jc w:val="both"/>
        <w:rPr>
          <w:rFonts w:ascii="Arial" w:hAnsi="Arial" w:cs="Arial"/>
          <w:b/>
          <w:bCs/>
          <w:sz w:val="20"/>
          <w:szCs w:val="20"/>
        </w:rPr>
      </w:pPr>
    </w:p>
    <w:p w14:paraId="62446995" w14:textId="77777777" w:rsidR="003D0EB3" w:rsidRPr="009E1CED" w:rsidRDefault="003D0EB3" w:rsidP="001F6FEE">
      <w:pPr>
        <w:jc w:val="both"/>
        <w:rPr>
          <w:rFonts w:ascii="Arial" w:hAnsi="Arial" w:cs="Arial"/>
          <w:b/>
          <w:bCs/>
          <w:sz w:val="20"/>
          <w:szCs w:val="20"/>
        </w:rPr>
      </w:pPr>
    </w:p>
    <w:p w14:paraId="32F94234" w14:textId="77777777" w:rsidR="003D0EB3" w:rsidRPr="009E1CED" w:rsidRDefault="003D0EB3" w:rsidP="001F6FEE">
      <w:pPr>
        <w:jc w:val="both"/>
        <w:rPr>
          <w:rFonts w:ascii="Arial" w:hAnsi="Arial" w:cs="Arial"/>
          <w:b/>
          <w:bCs/>
          <w:sz w:val="20"/>
          <w:szCs w:val="20"/>
        </w:rPr>
      </w:pPr>
    </w:p>
    <w:p w14:paraId="4844A213" w14:textId="77777777" w:rsidR="003D0EB3" w:rsidRPr="009E1CED" w:rsidRDefault="003D0EB3" w:rsidP="001F6FEE">
      <w:pPr>
        <w:jc w:val="both"/>
        <w:rPr>
          <w:rFonts w:ascii="Arial" w:hAnsi="Arial" w:cs="Arial"/>
          <w:b/>
          <w:bCs/>
          <w:sz w:val="20"/>
          <w:szCs w:val="20"/>
        </w:rPr>
      </w:pPr>
    </w:p>
    <w:p w14:paraId="0D641413" w14:textId="77777777" w:rsidR="003D0EB3" w:rsidRPr="009E1CED" w:rsidRDefault="003D0EB3" w:rsidP="001F6FEE">
      <w:pPr>
        <w:jc w:val="both"/>
        <w:rPr>
          <w:rFonts w:ascii="Arial" w:hAnsi="Arial" w:cs="Arial"/>
          <w:b/>
          <w:bCs/>
          <w:sz w:val="20"/>
          <w:szCs w:val="20"/>
        </w:rPr>
      </w:pPr>
    </w:p>
    <w:p w14:paraId="13DD8883" w14:textId="77777777" w:rsidR="003D0EB3" w:rsidRPr="009E1CED" w:rsidRDefault="003D0EB3" w:rsidP="001F6FEE">
      <w:pPr>
        <w:jc w:val="both"/>
        <w:rPr>
          <w:rFonts w:ascii="Arial" w:hAnsi="Arial" w:cs="Arial"/>
          <w:b/>
          <w:bCs/>
          <w:sz w:val="20"/>
          <w:szCs w:val="20"/>
        </w:rPr>
      </w:pPr>
    </w:p>
    <w:p w14:paraId="63256B6E" w14:textId="77777777" w:rsidR="003D0EB3" w:rsidRPr="009E1CED" w:rsidRDefault="003D0EB3" w:rsidP="001F6FEE">
      <w:pPr>
        <w:jc w:val="both"/>
        <w:rPr>
          <w:rFonts w:ascii="Arial" w:hAnsi="Arial" w:cs="Arial"/>
          <w:b/>
          <w:bCs/>
          <w:sz w:val="20"/>
          <w:szCs w:val="20"/>
        </w:rPr>
      </w:pPr>
    </w:p>
    <w:p w14:paraId="45211812" w14:textId="77777777" w:rsidR="00620C55" w:rsidRDefault="00620C55" w:rsidP="001F6FEE">
      <w:pPr>
        <w:jc w:val="both"/>
        <w:rPr>
          <w:rFonts w:ascii="Arial" w:hAnsi="Arial" w:cs="Arial"/>
          <w:b/>
          <w:bCs/>
          <w:sz w:val="20"/>
          <w:szCs w:val="20"/>
        </w:rPr>
      </w:pPr>
    </w:p>
    <w:p w14:paraId="48C2DD53" w14:textId="77777777" w:rsidR="009E1CED" w:rsidRPr="009E1CED" w:rsidRDefault="009E1CED" w:rsidP="001F6FEE">
      <w:pPr>
        <w:jc w:val="both"/>
        <w:rPr>
          <w:rFonts w:ascii="Arial" w:hAnsi="Arial" w:cs="Arial"/>
          <w:b/>
          <w:bCs/>
          <w:sz w:val="20"/>
          <w:szCs w:val="20"/>
        </w:rPr>
      </w:pPr>
    </w:p>
    <w:p w14:paraId="5B31BAF0" w14:textId="77777777" w:rsidR="00620C55" w:rsidRPr="009E1CED" w:rsidRDefault="00620C55" w:rsidP="001F6FEE">
      <w:pPr>
        <w:jc w:val="both"/>
        <w:rPr>
          <w:rFonts w:ascii="Arial" w:hAnsi="Arial" w:cs="Arial"/>
          <w:b/>
          <w:bCs/>
          <w:sz w:val="20"/>
          <w:szCs w:val="20"/>
        </w:rPr>
      </w:pPr>
    </w:p>
    <w:p w14:paraId="510D36A3" w14:textId="77777777" w:rsidR="00620C55" w:rsidRPr="009E1CED" w:rsidRDefault="00620C55" w:rsidP="001F6FEE">
      <w:pPr>
        <w:jc w:val="both"/>
        <w:rPr>
          <w:rFonts w:ascii="Arial" w:hAnsi="Arial" w:cs="Arial"/>
          <w:b/>
          <w:bCs/>
          <w:sz w:val="20"/>
          <w:szCs w:val="20"/>
        </w:rPr>
      </w:pPr>
    </w:p>
    <w:p w14:paraId="1631D2EC" w14:textId="05778768" w:rsidR="003D0EB3" w:rsidRPr="009E1CED" w:rsidRDefault="003D0EB3" w:rsidP="003D0EB3">
      <w:pPr>
        <w:jc w:val="both"/>
        <w:rPr>
          <w:rFonts w:ascii="Arial" w:hAnsi="Arial" w:cs="Arial"/>
          <w:b/>
          <w:bCs/>
          <w:sz w:val="20"/>
          <w:szCs w:val="20"/>
        </w:rPr>
      </w:pPr>
      <w:r w:rsidRPr="009E1CED">
        <w:rPr>
          <w:rFonts w:ascii="Arial" w:hAnsi="Arial" w:cs="Arial"/>
          <w:b/>
          <w:bCs/>
          <w:sz w:val="20"/>
          <w:szCs w:val="20"/>
        </w:rPr>
        <w:lastRenderedPageBreak/>
        <w:t>Poster Presentation</w:t>
      </w:r>
    </w:p>
    <w:p w14:paraId="40416FA7" w14:textId="77777777" w:rsidR="003D0EB3" w:rsidRPr="009E1CED" w:rsidRDefault="00000000" w:rsidP="003D0EB3">
      <w:pPr>
        <w:pStyle w:val="DDLTitle"/>
        <w:rPr>
          <w:rFonts w:cs="Arial"/>
          <w:sz w:val="20"/>
          <w:szCs w:val="20"/>
        </w:rPr>
      </w:pPr>
      <w:sdt>
        <w:sdtPr>
          <w:rPr>
            <w:rFonts w:cs="Arial"/>
            <w:sz w:val="20"/>
            <w:szCs w:val="20"/>
          </w:rPr>
          <w:alias w:val="Title"/>
          <w:tag w:val="Title"/>
          <w:id w:val="1529756699"/>
          <w:placeholder>
            <w:docPart w:val="91F15A6C21678141AD20ED1CFF01FC16"/>
          </w:placeholder>
        </w:sdtPr>
        <w:sdtContent>
          <w:r w:rsidR="003D0EB3" w:rsidRPr="009E1CED">
            <w:rPr>
              <w:rFonts w:cs="Arial"/>
              <w:sz w:val="20"/>
              <w:szCs w:val="20"/>
            </w:rPr>
            <w:t>Optimization of Spray-Drying Process Parameters for the Preparation of Ciprofloxacin-Quercetin Fixed-Dose Combination intended for inhalation</w:t>
          </w:r>
        </w:sdtContent>
      </w:sdt>
      <w:r w:rsidR="003D0EB3" w:rsidRPr="009E1CED">
        <w:rPr>
          <w:rFonts w:cs="Arial"/>
          <w:sz w:val="20"/>
          <w:szCs w:val="20"/>
        </w:rPr>
        <w:t xml:space="preserve"> </w:t>
      </w:r>
    </w:p>
    <w:p w14:paraId="29652280" w14:textId="77777777" w:rsidR="003D0EB3" w:rsidRPr="009E1CED" w:rsidRDefault="00000000" w:rsidP="003D0EB3">
      <w:pPr>
        <w:pStyle w:val="DDLSubtitle"/>
        <w:rPr>
          <w:rFonts w:cs="Arial"/>
          <w:sz w:val="20"/>
          <w:szCs w:val="20"/>
        </w:rPr>
      </w:pPr>
      <w:sdt>
        <w:sdtPr>
          <w:rPr>
            <w:rFonts w:cs="Arial"/>
            <w:sz w:val="20"/>
            <w:szCs w:val="20"/>
            <w:u w:val="single"/>
          </w:rPr>
          <w:alias w:val="Main Author"/>
          <w:tag w:val="Main Author"/>
          <w:id w:val="393858628"/>
          <w:placeholder>
            <w:docPart w:val="265DE49324ECCD4DBF64CD617FE4A682"/>
          </w:placeholder>
        </w:sdtPr>
        <w:sdtContent>
          <w:r w:rsidR="003D0EB3" w:rsidRPr="009E1CED">
            <w:rPr>
              <w:rFonts w:cs="Arial"/>
              <w:sz w:val="20"/>
              <w:szCs w:val="20"/>
              <w:u w:val="single"/>
            </w:rPr>
            <w:t>Nasser Alhajj</w:t>
          </w:r>
        </w:sdtContent>
      </w:sdt>
      <w:r w:rsidR="003D0EB3" w:rsidRPr="009E1CED">
        <w:rPr>
          <w:rFonts w:cs="Arial"/>
          <w:sz w:val="20"/>
          <w:szCs w:val="20"/>
          <w:vertAlign w:val="superscript"/>
        </w:rPr>
        <w:t>1</w:t>
      </w:r>
      <w:r w:rsidR="003D0EB3" w:rsidRPr="009E1CED">
        <w:rPr>
          <w:rFonts w:cs="Arial"/>
          <w:sz w:val="20"/>
          <w:szCs w:val="20"/>
        </w:rPr>
        <w:t xml:space="preserve">, Niall J. O'Reilly </w:t>
      </w:r>
      <w:r w:rsidR="003D0EB3" w:rsidRPr="009E1CED">
        <w:rPr>
          <w:rFonts w:cs="Arial"/>
          <w:sz w:val="20"/>
          <w:szCs w:val="20"/>
          <w:vertAlign w:val="superscript"/>
        </w:rPr>
        <w:t>1,2</w:t>
      </w:r>
      <w:r w:rsidR="003D0EB3" w:rsidRPr="009E1CED">
        <w:rPr>
          <w:rFonts w:cs="Arial"/>
          <w:sz w:val="20"/>
          <w:szCs w:val="20"/>
        </w:rPr>
        <w:t xml:space="preserve"> &amp; Helen Cathcart </w:t>
      </w:r>
      <w:r w:rsidR="003D0EB3" w:rsidRPr="009E1CED">
        <w:rPr>
          <w:rFonts w:cs="Arial"/>
          <w:sz w:val="20"/>
          <w:szCs w:val="20"/>
          <w:vertAlign w:val="superscript"/>
        </w:rPr>
        <w:t>1</w:t>
      </w:r>
    </w:p>
    <w:p w14:paraId="27E95142" w14:textId="77777777" w:rsidR="003D0EB3" w:rsidRPr="009E1CED" w:rsidRDefault="003D0EB3" w:rsidP="003D0EB3">
      <w:pPr>
        <w:pStyle w:val="DDLAddress1"/>
        <w:rPr>
          <w:rFonts w:cs="Arial"/>
          <w:sz w:val="20"/>
          <w:szCs w:val="20"/>
        </w:rPr>
      </w:pPr>
      <w:r w:rsidRPr="009E1CED">
        <w:rPr>
          <w:rFonts w:cs="Arial"/>
          <w:sz w:val="20"/>
          <w:szCs w:val="20"/>
          <w:vertAlign w:val="superscript"/>
        </w:rPr>
        <w:t>1</w:t>
      </w:r>
      <w:r w:rsidRPr="009E1CED">
        <w:rPr>
          <w:rFonts w:cs="Arial"/>
          <w:sz w:val="20"/>
          <w:szCs w:val="20"/>
        </w:rPr>
        <w:t>Pharmaceutical and Molecular Biotechnology Research Centre (PMBRC), South East Technological University, Cork Road Waterford, Ireland</w:t>
      </w:r>
    </w:p>
    <w:p w14:paraId="3CDF12C4" w14:textId="77777777" w:rsidR="003D0EB3" w:rsidRPr="009E1CED" w:rsidRDefault="003D0EB3" w:rsidP="003D0EB3">
      <w:pPr>
        <w:pStyle w:val="DDLAddress2"/>
        <w:rPr>
          <w:rFonts w:cs="Arial"/>
          <w:sz w:val="20"/>
          <w:szCs w:val="20"/>
        </w:rPr>
      </w:pPr>
      <w:r w:rsidRPr="009E1CED">
        <w:rPr>
          <w:rFonts w:cs="Arial"/>
          <w:sz w:val="20"/>
          <w:szCs w:val="20"/>
          <w:vertAlign w:val="superscript"/>
        </w:rPr>
        <w:t>2</w:t>
      </w:r>
      <w:r w:rsidRPr="009E1CED">
        <w:rPr>
          <w:rFonts w:cs="Arial"/>
          <w:sz w:val="20"/>
          <w:szCs w:val="20"/>
        </w:rPr>
        <w:t>SSPC – The Science Foundation Ireland Research Centre for Pharmaceuticals, Ireland</w:t>
      </w:r>
    </w:p>
    <w:p w14:paraId="54DFAF1C" w14:textId="77777777" w:rsidR="003D0EB3" w:rsidRPr="009E1CED" w:rsidRDefault="003D0EB3" w:rsidP="003D0EB3">
      <w:pPr>
        <w:pStyle w:val="DDLHeading1"/>
        <w:rPr>
          <w:rFonts w:cs="Arial"/>
          <w:sz w:val="20"/>
          <w:szCs w:val="20"/>
        </w:rPr>
      </w:pPr>
      <w:r w:rsidRPr="009E1CED">
        <w:rPr>
          <w:rFonts w:cs="Arial"/>
          <w:sz w:val="20"/>
          <w:szCs w:val="20"/>
        </w:rPr>
        <w:t>Introduction</w:t>
      </w:r>
    </w:p>
    <w:p w14:paraId="244DB112"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t xml:space="preserve">Spray drying is a well-established manufacturing technique for engineering micronized particles with well-controlled aerosolization-related properties </w:t>
      </w:r>
      <w:r w:rsidRPr="009E1CED">
        <w:rPr>
          <w:rStyle w:val="FootnoteReference"/>
          <w:rFonts w:ascii="Arial" w:eastAsia="Calibri" w:hAnsi="Arial" w:cs="Arial"/>
          <w:kern w:val="2"/>
          <w:sz w:val="20"/>
          <w:szCs w:val="20"/>
          <w:lang w:val="en-IE"/>
          <w14:ligatures w14:val="standardContextual"/>
        </w:rPr>
        <w:fldChar w:fldCharType="begin" w:fldLock="1"/>
      </w:r>
      <w:r w:rsidRPr="009E1CED">
        <w:rPr>
          <w:rFonts w:ascii="Arial" w:eastAsia="Calibri" w:hAnsi="Arial" w:cs="Arial"/>
          <w:kern w:val="2"/>
          <w:sz w:val="20"/>
          <w:szCs w:val="20"/>
          <w:lang w:val="en-IE"/>
          <w14:ligatures w14:val="standardContextual"/>
        </w:rPr>
        <w:instrText>ADDIN CSL_CITATION {"citationItems":[{"id":"ITEM-1","itemData":{"DOI":"10.1016/j.powtec.2021.02.031","ISSN":"1873328X","abstract":"Spray drying is a constructive single-step manufacturing technique used to produce dry powder. Spray drying plays a remarkable role in producing inhalable powder formulations due to its ability to engineer particles with optimized characteristics for inhalation. However, the complexity of drying kinetics and particle formation process coupled with the specificity of the targeted physicochemical characteristics of inhalable particles makes it a very interesting area of research. This review will discuss various aspects of spray drying such as configurations and functions, drying kinetics, component distribution and particle solidification. Furthermore, the review will focus on the functionality and behavior of excipients during drying. Finally, characterization techniques used to investigate components distribution within dried particles will be highlighted with research thrust in this area.","author":[{"dropping-particle":"","family":"Alhajj","given":"Nasser","non-dropping-particle":"","parse-names":false,"suffix":""},{"dropping-particle":"","family":"O'Reilly","given":"Niall J","non-dropping-particle":"","parse-names":false,"suffix":""},{"dropping-particle":"","family":"Cathcart","given":"Helen","non-dropping-particle":"","parse-names":false,"suffix":""}],"container-title":"Powder Technology","id":"ITEM-1","issued":{"date-parts":[["2021"]]},"page":"313-331","title":"Designing enhanced spray dried particles for inhalation: A review of the impact of excipients and processing parameters on particle properties","type":"article","volume":"384"},"uris":["http://www.mendeley.com/documents/?uuid=f3eaef4a-f26b-3548-99f4-ef505d309f66"]}],"mendeley":{"formattedCitation":"&lt;sup&gt;1&lt;/sup&gt;","plainTextFormattedCitation":"1","previouslyFormattedCitation":"&lt;sup&gt;1&lt;/sup&gt;"},"properties":{"noteIndex":0},"schema":"https://github.com/citation-style-language/schema/raw/master/csl-citation.json"}</w:instrText>
      </w:r>
      <w:r w:rsidRPr="009E1CED">
        <w:rPr>
          <w:rStyle w:val="FootnoteReference"/>
          <w:rFonts w:ascii="Arial" w:eastAsia="Calibri" w:hAnsi="Arial" w:cs="Arial"/>
          <w:kern w:val="2"/>
          <w:sz w:val="20"/>
          <w:szCs w:val="20"/>
          <w:lang w:val="en-IE"/>
          <w14:ligatures w14:val="standardContextual"/>
        </w:rPr>
        <w:fldChar w:fldCharType="separate"/>
      </w:r>
      <w:r w:rsidRPr="009E1CED">
        <w:rPr>
          <w:rFonts w:ascii="Arial" w:eastAsia="Calibri" w:hAnsi="Arial" w:cs="Arial"/>
          <w:noProof/>
          <w:kern w:val="2"/>
          <w:sz w:val="20"/>
          <w:szCs w:val="20"/>
          <w:vertAlign w:val="superscript"/>
          <w:lang w:val="en-IE"/>
          <w14:ligatures w14:val="standardContextual"/>
        </w:rPr>
        <w:t>1</w:t>
      </w:r>
      <w:r w:rsidRPr="009E1CED">
        <w:rPr>
          <w:rStyle w:val="FootnoteReference"/>
          <w:rFonts w:ascii="Arial" w:eastAsia="Calibri" w:hAnsi="Arial" w:cs="Arial"/>
          <w:kern w:val="2"/>
          <w:sz w:val="20"/>
          <w:szCs w:val="20"/>
          <w:lang w:val="en-IE"/>
          <w14:ligatures w14:val="standardContextual"/>
        </w:rPr>
        <w:fldChar w:fldCharType="end"/>
      </w:r>
      <w:r w:rsidRPr="009E1CED">
        <w:rPr>
          <w:rFonts w:ascii="Arial" w:eastAsia="Calibri" w:hAnsi="Arial" w:cs="Arial"/>
          <w:kern w:val="2"/>
          <w:sz w:val="20"/>
          <w:szCs w:val="20"/>
          <w:lang w:val="en-IE"/>
          <w14:ligatures w14:val="standardContextual"/>
        </w:rPr>
        <w:t>. A fine-tuning of the spray drying processing parameters can control the properties of the product, both at a powder level such as yield and residual moisture content (RMC) and at a particle level such as morphology and size distribution. The aim of this study was to understand and optimise the spray drying process of a ciprofloxacin-quercetin fixed dose combination intended for pulmonary administration. A 2</w:t>
      </w:r>
      <w:r w:rsidRPr="009E1CED">
        <w:rPr>
          <w:rFonts w:ascii="Arial" w:eastAsia="Calibri" w:hAnsi="Arial" w:cs="Arial"/>
          <w:kern w:val="2"/>
          <w:sz w:val="20"/>
          <w:szCs w:val="20"/>
          <w:vertAlign w:val="superscript"/>
          <w:lang w:val="en-IE"/>
          <w14:ligatures w14:val="standardContextual"/>
        </w:rPr>
        <w:t xml:space="preserve">4-1 </w:t>
      </w:r>
      <w:r w:rsidRPr="009E1CED">
        <w:rPr>
          <w:rFonts w:ascii="Arial" w:eastAsia="Calibri" w:hAnsi="Arial" w:cs="Arial"/>
          <w:kern w:val="2"/>
          <w:sz w:val="20"/>
          <w:szCs w:val="20"/>
          <w:lang w:val="en-IE"/>
          <w14:ligatures w14:val="standardContextual"/>
        </w:rPr>
        <w:t>fractional factorial design of experiment (DoE) and multivariate data analysis along with principle component analysis (PCA)</w:t>
      </w:r>
      <w:r w:rsidRPr="009E1CED">
        <w:rPr>
          <w:rFonts w:ascii="Arial" w:eastAsia="Calibri" w:hAnsi="Arial" w:cs="Arial"/>
          <w:kern w:val="2"/>
          <w:sz w:val="20"/>
          <w:szCs w:val="20"/>
          <w:lang w:val="en-IE"/>
          <w14:ligatures w14:val="standardContextual"/>
        </w:rPr>
        <w:fldChar w:fldCharType="begin" w:fldLock="1"/>
      </w:r>
      <w:r w:rsidRPr="009E1CED">
        <w:rPr>
          <w:rFonts w:ascii="Arial" w:eastAsia="Calibri" w:hAnsi="Arial" w:cs="Arial"/>
          <w:kern w:val="2"/>
          <w:sz w:val="20"/>
          <w:szCs w:val="20"/>
          <w:lang w:val="en-IE"/>
          <w14:ligatures w14:val="standardContextual"/>
        </w:rPr>
        <w:instrText>ADDIN CSL_CITATION {"citationItems":[{"id":"ITEM-1","itemData":{"DOI":"https://doi.org/10.1016/j.ijpharm.2011.02.019","ISSN":"0378-5173","abstract":"We provide an overview of latent variable methods used in pharmaceutics and integrated with advanced characterization techniques such as vibrational spectroscopy. The basics of the most common latent variable methods, principal component analysis (PCA), principal component regression (PCR) and partial least-squares (PLS) regression, are presented. Multiple linear regression (MLR) and methods for improved interpretation, variable selection, classification and validation are also briefly discussed. Extensive use of the methods is demonstrated by compilation of the recent literature.","author":[{"dropping-particle":"","family":"Rajalahti","given":"Tarja","non-dropping-particle":"","parse-names":false,"suffix":""},{"dropping-particle":"","family":"Kvalheim","given":"Olav M","non-dropping-particle":"","parse-names":false,"suffix":""}],"container-title":"International Journal of Pharmaceutics","id":"ITEM-1","issue":"1","issued":{"date-parts":[["2011"]]},"page":"280-290","title":"Multivariate data analysis in pharmaceutics: A tutorial review","type":"article-journal","volume":"417"},"uris":["http://www.mendeley.com/documents/?uuid=aec72866-1cb8-40e1-9e11-b66c1d7a0ca5"]}],"mendeley":{"formattedCitation":"&lt;sup&gt;2&lt;/sup&gt;","plainTextFormattedCitation":"2","previouslyFormattedCitation":"&lt;sup&gt;2&lt;/sup&gt;"},"properties":{"noteIndex":0},"schema":"https://github.com/citation-style-language/schema/raw/master/csl-citation.json"}</w:instrText>
      </w:r>
      <w:r w:rsidRPr="009E1CED">
        <w:rPr>
          <w:rFonts w:ascii="Arial" w:eastAsia="Calibri" w:hAnsi="Arial" w:cs="Arial"/>
          <w:kern w:val="2"/>
          <w:sz w:val="20"/>
          <w:szCs w:val="20"/>
          <w:lang w:val="en-IE"/>
          <w14:ligatures w14:val="standardContextual"/>
        </w:rPr>
        <w:fldChar w:fldCharType="separate"/>
      </w:r>
      <w:r w:rsidRPr="009E1CED">
        <w:rPr>
          <w:rFonts w:ascii="Arial" w:eastAsia="Calibri" w:hAnsi="Arial" w:cs="Arial"/>
          <w:noProof/>
          <w:kern w:val="2"/>
          <w:sz w:val="20"/>
          <w:szCs w:val="20"/>
          <w:vertAlign w:val="superscript"/>
          <w:lang w:val="en-IE"/>
          <w14:ligatures w14:val="standardContextual"/>
        </w:rPr>
        <w:t>2</w:t>
      </w:r>
      <w:r w:rsidRPr="009E1CED">
        <w:rPr>
          <w:rFonts w:ascii="Arial" w:eastAsia="Calibri" w:hAnsi="Arial" w:cs="Arial"/>
          <w:kern w:val="2"/>
          <w:sz w:val="20"/>
          <w:szCs w:val="20"/>
          <w:lang w:val="en-IE"/>
          <w14:ligatures w14:val="standardContextual"/>
        </w:rPr>
        <w:fldChar w:fldCharType="end"/>
      </w:r>
      <w:r w:rsidRPr="009E1CED">
        <w:rPr>
          <w:rFonts w:ascii="Arial" w:eastAsia="Calibri" w:hAnsi="Arial" w:cs="Arial"/>
          <w:kern w:val="2"/>
          <w:sz w:val="20"/>
          <w:szCs w:val="20"/>
          <w:lang w:val="en-IE"/>
          <w14:ligatures w14:val="standardContextual"/>
        </w:rPr>
        <w:t xml:space="preserve"> were used to identify important process parameters and investigate correlations with particle characteristics to produce microparticles suitable for pulmonary drug delivery.</w:t>
      </w:r>
    </w:p>
    <w:p w14:paraId="538EC898" w14:textId="77777777" w:rsidR="003D0EB3" w:rsidRPr="009E1CED" w:rsidRDefault="003D0EB3" w:rsidP="003D0EB3">
      <w:pPr>
        <w:pStyle w:val="DDLHeading1"/>
        <w:rPr>
          <w:rFonts w:cs="Arial"/>
          <w:sz w:val="20"/>
          <w:szCs w:val="20"/>
        </w:rPr>
      </w:pPr>
      <w:r w:rsidRPr="009E1CED">
        <w:rPr>
          <w:rFonts w:cs="Arial"/>
          <w:sz w:val="20"/>
          <w:szCs w:val="20"/>
        </w:rPr>
        <w:t>Methods</w:t>
      </w:r>
    </w:p>
    <w:p w14:paraId="27B24CE2"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t xml:space="preserve">Spray-dried powders were prepared using Pro-CepT 4M8-TriX spray dryer (Zelzate, Belgium) with a nozzle orifice diameter of 0.4 mm. The feedstock solutions were prepared by dissolving ciprofloxacin and quercetin in water and ethanol, respectively. Then ciprofloxacin solution was added to quercetin solution under continuous stirring. The final solutions contained ciprofloxacin and quercetin at a mass ratio of 2:1, respectively, in ethanol and water at volume ratio 75:25, respectively. Four processing parameters were evaluated at 2 levels: solute concentration (0.5 and 1 %w/v), </w:t>
      </w:r>
      <w:bookmarkStart w:id="0" w:name="_Hlk135990707"/>
      <w:r w:rsidRPr="009E1CED">
        <w:rPr>
          <w:rFonts w:ascii="Arial" w:eastAsia="Calibri" w:hAnsi="Arial" w:cs="Arial"/>
          <w:kern w:val="2"/>
          <w:sz w:val="20"/>
          <w:szCs w:val="20"/>
          <w:lang w:val="en-IE"/>
          <w14:ligatures w14:val="standardContextual"/>
        </w:rPr>
        <w:t xml:space="preserve">solution flow rate (pump speed 20 and 100%), atomizing air flow rate (6.5 and 9.5 L/min) and inlet temperature </w:t>
      </w:r>
      <w:bookmarkEnd w:id="0"/>
      <w:r w:rsidRPr="009E1CED">
        <w:rPr>
          <w:rFonts w:ascii="Arial" w:eastAsia="Calibri" w:hAnsi="Arial" w:cs="Arial"/>
          <w:kern w:val="2"/>
          <w:sz w:val="20"/>
          <w:szCs w:val="20"/>
          <w:lang w:val="en-IE"/>
          <w14:ligatures w14:val="standardContextual"/>
        </w:rPr>
        <w:t>(100 and 180 °C). The remaining spray-drying process parameters (air flow = 0.3 m3/min and differential pressure over cyclone = 50 mBar) were kept constant for all experiments. The quality target product profile (QTPP) of the spray dried powder was defined as: the particles size and size distribution (D</w:t>
      </w:r>
      <w:r w:rsidRPr="009E1CED">
        <w:rPr>
          <w:rFonts w:ascii="Arial" w:eastAsia="Calibri" w:hAnsi="Arial" w:cs="Arial"/>
          <w:kern w:val="2"/>
          <w:sz w:val="20"/>
          <w:szCs w:val="20"/>
          <w:vertAlign w:val="subscript"/>
          <w:lang w:val="en-IE"/>
          <w14:ligatures w14:val="standardContextual"/>
        </w:rPr>
        <w:t>(v,50)</w:t>
      </w:r>
      <w:r w:rsidRPr="009E1CED">
        <w:rPr>
          <w:rFonts w:ascii="Arial" w:eastAsia="Calibri" w:hAnsi="Arial" w:cs="Arial"/>
          <w:kern w:val="2"/>
          <w:sz w:val="20"/>
          <w:szCs w:val="20"/>
          <w:lang w:val="en-IE"/>
          <w14:ligatures w14:val="standardContextual"/>
        </w:rPr>
        <w:t xml:space="preserve"> 1 – 5 µm), percentage yield (&gt;50%) and residual moisture content (&lt;5%). The particle size distribution was determined using a Mastersizer 2000 laser diffraction instrument (Malvern Instruments, UK) and the residual moisture content using a Q50 TGA Thermogravimetric Analyzer (TA instruments, UK). The aerosolization performance was investigated by loading 10 mg powder into a Cyclohaler device connected to a next generation impactor (NGI) at a flow rate of 60 L/min.</w:t>
      </w:r>
    </w:p>
    <w:p w14:paraId="7E3C2F86" w14:textId="77777777" w:rsidR="003D0EB3" w:rsidRPr="009E1CED" w:rsidRDefault="003D0EB3" w:rsidP="003D0EB3">
      <w:pPr>
        <w:pStyle w:val="DDLHeading1"/>
        <w:rPr>
          <w:rFonts w:cs="Arial"/>
          <w:sz w:val="20"/>
          <w:szCs w:val="20"/>
        </w:rPr>
      </w:pPr>
      <w:r w:rsidRPr="009E1CED">
        <w:rPr>
          <w:rFonts w:cs="Arial"/>
          <w:sz w:val="20"/>
          <w:szCs w:val="20"/>
        </w:rPr>
        <w:t>Result</w:t>
      </w:r>
    </w:p>
    <w:p w14:paraId="65F81513"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t>A two-level, four-factor (2</w:t>
      </w:r>
      <w:r w:rsidRPr="009E1CED">
        <w:rPr>
          <w:rFonts w:ascii="Arial" w:eastAsia="Calibri" w:hAnsi="Arial" w:cs="Arial"/>
          <w:kern w:val="2"/>
          <w:sz w:val="20"/>
          <w:szCs w:val="20"/>
          <w:vertAlign w:val="superscript"/>
          <w:lang w:val="en-IE"/>
          <w14:ligatures w14:val="standardContextual"/>
        </w:rPr>
        <w:t>4-1</w:t>
      </w:r>
      <w:r w:rsidRPr="009E1CED">
        <w:rPr>
          <w:rFonts w:ascii="Arial" w:eastAsia="Calibri" w:hAnsi="Arial" w:cs="Arial"/>
          <w:kern w:val="2"/>
          <w:sz w:val="20"/>
          <w:szCs w:val="20"/>
          <w:lang w:val="en-IE"/>
          <w14:ligatures w14:val="standardContextual"/>
        </w:rPr>
        <w:t>) half factorial design was developed and the correlations between dependent and independent variables were investigated using Minitab (Minitab Inc., Version 20, State College, PA, USA) statistical software. The DoE results indicated that the particle size D</w:t>
      </w:r>
      <w:r w:rsidRPr="009E1CED">
        <w:rPr>
          <w:rFonts w:ascii="Arial" w:eastAsia="Calibri" w:hAnsi="Arial" w:cs="Arial"/>
          <w:kern w:val="2"/>
          <w:sz w:val="20"/>
          <w:szCs w:val="20"/>
          <w:vertAlign w:val="subscript"/>
          <w:lang w:val="en-IE"/>
          <w14:ligatures w14:val="standardContextual"/>
        </w:rPr>
        <w:t>(v,50)</w:t>
      </w:r>
      <w:r w:rsidRPr="009E1CED">
        <w:rPr>
          <w:rFonts w:ascii="Arial" w:eastAsia="Calibri" w:hAnsi="Arial" w:cs="Arial"/>
          <w:kern w:val="2"/>
          <w:sz w:val="20"/>
          <w:szCs w:val="20"/>
          <w:lang w:val="en-IE"/>
          <w14:ligatures w14:val="standardContextual"/>
        </w:rPr>
        <w:t xml:space="preserve"> and D</w:t>
      </w:r>
      <w:r w:rsidRPr="009E1CED">
        <w:rPr>
          <w:rFonts w:ascii="Arial" w:eastAsia="Calibri" w:hAnsi="Arial" w:cs="Arial"/>
          <w:kern w:val="2"/>
          <w:sz w:val="20"/>
          <w:szCs w:val="20"/>
          <w:vertAlign w:val="subscript"/>
          <w:lang w:val="en-IE"/>
          <w14:ligatures w14:val="standardContextual"/>
        </w:rPr>
        <w:t>(v,90)</w:t>
      </w:r>
      <w:r w:rsidRPr="009E1CED">
        <w:rPr>
          <w:rFonts w:ascii="Arial" w:eastAsia="Calibri" w:hAnsi="Arial" w:cs="Arial"/>
          <w:kern w:val="2"/>
          <w:sz w:val="20"/>
          <w:szCs w:val="20"/>
          <w:lang w:val="en-IE"/>
          <w14:ligatures w14:val="standardContextual"/>
        </w:rPr>
        <w:t xml:space="preserve"> were affected by solution flow rate, atomizing air flow rate and inlet temperature while the span was mainly affected by the solute concentration and the atomizing air flow rate. The inlet temperature was the most important parameter affecting the RMC and the yield (Table 1 and Figure 1).  </w:t>
      </w:r>
    </w:p>
    <w:p w14:paraId="794D5B3B" w14:textId="77777777" w:rsidR="003D0EB3" w:rsidRPr="009E1CED" w:rsidRDefault="003D0EB3" w:rsidP="003D0EB3">
      <w:pPr>
        <w:rPr>
          <w:rFonts w:ascii="Arial" w:eastAsia="Calibri" w:hAnsi="Arial" w:cs="Arial"/>
          <w:kern w:val="2"/>
          <w:sz w:val="20"/>
          <w:szCs w:val="20"/>
          <w:lang w:val="en-IE"/>
          <w14:ligatures w14:val="standardContextual"/>
        </w:rPr>
      </w:pPr>
    </w:p>
    <w:p w14:paraId="27B1E4C4" w14:textId="77777777" w:rsidR="003D0EB3" w:rsidRPr="009E1CED" w:rsidRDefault="003D0EB3" w:rsidP="003D0EB3">
      <w:pPr>
        <w:rPr>
          <w:rFonts w:ascii="Arial" w:eastAsia="Calibri" w:hAnsi="Arial" w:cs="Arial"/>
          <w:kern w:val="2"/>
          <w:sz w:val="20"/>
          <w:szCs w:val="20"/>
          <w:lang w:val="en-IE"/>
          <w14:ligatures w14:val="standardContextual"/>
        </w:rPr>
      </w:pPr>
    </w:p>
    <w:p w14:paraId="6EA1F044" w14:textId="77777777" w:rsidR="003D0EB3" w:rsidRPr="009E1CED" w:rsidRDefault="003D0EB3" w:rsidP="003D0EB3">
      <w:pPr>
        <w:rPr>
          <w:rFonts w:ascii="Arial" w:eastAsia="Calibri" w:hAnsi="Arial" w:cs="Arial"/>
          <w:kern w:val="2"/>
          <w:sz w:val="20"/>
          <w:szCs w:val="20"/>
          <w:lang w:val="en-IE"/>
          <w14:ligatures w14:val="standardContextual"/>
        </w:rPr>
      </w:pPr>
    </w:p>
    <w:p w14:paraId="558B6254" w14:textId="77777777" w:rsidR="003D0EB3" w:rsidRPr="009E1CED" w:rsidRDefault="003D0EB3" w:rsidP="003D0EB3">
      <w:pPr>
        <w:rPr>
          <w:rFonts w:ascii="Arial" w:eastAsia="Calibri" w:hAnsi="Arial" w:cs="Arial"/>
          <w:kern w:val="2"/>
          <w:sz w:val="20"/>
          <w:szCs w:val="20"/>
          <w:lang w:val="en-IE"/>
          <w14:ligatures w14:val="standardContextual"/>
        </w:rPr>
      </w:pPr>
    </w:p>
    <w:p w14:paraId="5F4813A5" w14:textId="77777777" w:rsidR="003D0EB3" w:rsidRPr="009E1CED" w:rsidRDefault="003D0EB3" w:rsidP="003D0EB3">
      <w:pPr>
        <w:rPr>
          <w:rFonts w:ascii="Arial" w:eastAsia="Calibri" w:hAnsi="Arial" w:cs="Arial"/>
          <w:kern w:val="2"/>
          <w:sz w:val="20"/>
          <w:szCs w:val="20"/>
          <w:lang w:val="en-IE"/>
          <w14:ligatures w14:val="standardContextual"/>
        </w:rPr>
      </w:pPr>
    </w:p>
    <w:p w14:paraId="6B2686B1" w14:textId="77777777" w:rsidR="003D0EB3" w:rsidRPr="009E1CED" w:rsidRDefault="003D0EB3" w:rsidP="003D0EB3">
      <w:pPr>
        <w:rPr>
          <w:rFonts w:ascii="Arial" w:eastAsia="Calibri" w:hAnsi="Arial" w:cs="Arial"/>
          <w:kern w:val="2"/>
          <w:sz w:val="20"/>
          <w:szCs w:val="20"/>
          <w:lang w:val="en-IE"/>
          <w14:ligatures w14:val="standardContextual"/>
        </w:rPr>
      </w:pPr>
    </w:p>
    <w:p w14:paraId="400A27C4" w14:textId="77777777" w:rsidR="003D0EB3" w:rsidRPr="009E1CED" w:rsidRDefault="003D0EB3" w:rsidP="003D0EB3">
      <w:pPr>
        <w:rPr>
          <w:rFonts w:ascii="Arial" w:eastAsia="Calibri" w:hAnsi="Arial" w:cs="Arial"/>
          <w:kern w:val="2"/>
          <w:sz w:val="20"/>
          <w:szCs w:val="20"/>
          <w:lang w:val="en-IE"/>
          <w14:ligatures w14:val="standardContextual"/>
        </w:rPr>
      </w:pPr>
    </w:p>
    <w:p w14:paraId="60A46098" w14:textId="77777777" w:rsidR="003D0EB3" w:rsidRPr="009E1CED" w:rsidRDefault="003D0EB3" w:rsidP="003D0EB3">
      <w:pPr>
        <w:rPr>
          <w:rFonts w:ascii="Arial" w:eastAsia="Calibri" w:hAnsi="Arial" w:cs="Arial"/>
          <w:kern w:val="2"/>
          <w:sz w:val="20"/>
          <w:szCs w:val="20"/>
          <w:lang w:val="en-IE"/>
          <w14:ligatures w14:val="standardContextual"/>
        </w:rPr>
      </w:pPr>
    </w:p>
    <w:p w14:paraId="1D1A919F" w14:textId="77777777" w:rsidR="003D0EB3" w:rsidRPr="009E1CED" w:rsidRDefault="003D0EB3" w:rsidP="003D0EB3">
      <w:pPr>
        <w:rPr>
          <w:rFonts w:ascii="Arial" w:eastAsia="Calibri" w:hAnsi="Arial" w:cs="Arial"/>
          <w:kern w:val="2"/>
          <w:sz w:val="20"/>
          <w:szCs w:val="20"/>
          <w:lang w:val="en-IE"/>
          <w14:ligatures w14:val="standardContextual"/>
        </w:rPr>
      </w:pPr>
    </w:p>
    <w:p w14:paraId="1F51318B" w14:textId="6EF92C07" w:rsidR="003D0EB3" w:rsidRPr="009E1CED" w:rsidRDefault="003D0EB3" w:rsidP="003D0EB3">
      <w:pPr>
        <w:spacing w:after="0"/>
        <w:ind w:firstLine="720"/>
        <w:rPr>
          <w:rFonts w:ascii="Arial" w:hAnsi="Arial" w:cs="Arial"/>
          <w:kern w:val="24"/>
          <w:sz w:val="20"/>
          <w:szCs w:val="20"/>
          <w:lang w:val="en-US" w:eastAsia="ja-JP"/>
        </w:rPr>
      </w:pPr>
      <w:r w:rsidRPr="009E1CED">
        <w:rPr>
          <w:rFonts w:ascii="Arial" w:hAnsi="Arial" w:cs="Arial"/>
          <w:b/>
          <w:bCs/>
          <w:kern w:val="24"/>
          <w:sz w:val="20"/>
          <w:szCs w:val="20"/>
          <w:lang w:val="en-US" w:eastAsia="ja-JP"/>
        </w:rPr>
        <w:t>Table 1</w:t>
      </w:r>
      <w:r w:rsidRPr="009E1CED">
        <w:rPr>
          <w:rFonts w:ascii="Arial" w:hAnsi="Arial" w:cs="Arial"/>
          <w:b/>
          <w:bCs/>
          <w:noProof/>
          <w:kern w:val="24"/>
          <w:sz w:val="20"/>
          <w:szCs w:val="20"/>
          <w:lang w:val="en-US" w:eastAsia="ja-JP"/>
        </w:rPr>
        <w:t>.</w:t>
      </w:r>
      <w:r w:rsidRPr="009E1CED">
        <w:rPr>
          <w:rFonts w:ascii="Arial" w:hAnsi="Arial" w:cs="Arial"/>
          <w:kern w:val="24"/>
          <w:sz w:val="20"/>
          <w:szCs w:val="20"/>
          <w:lang w:val="en-US" w:eastAsia="ja-JP"/>
        </w:rPr>
        <w:t xml:space="preserve"> ANOVA statistics and coefficients for the models obtained for the 2</w:t>
      </w:r>
      <w:r w:rsidRPr="009E1CED">
        <w:rPr>
          <w:rFonts w:ascii="Arial" w:hAnsi="Arial" w:cs="Arial"/>
          <w:kern w:val="24"/>
          <w:sz w:val="20"/>
          <w:szCs w:val="20"/>
          <w:vertAlign w:val="superscript"/>
          <w:lang w:val="en-US" w:eastAsia="ja-JP"/>
        </w:rPr>
        <w:t>4-1</w:t>
      </w:r>
      <w:r w:rsidRPr="009E1CED">
        <w:rPr>
          <w:rFonts w:ascii="Arial" w:hAnsi="Arial" w:cs="Arial"/>
          <w:kern w:val="24"/>
          <w:sz w:val="20"/>
          <w:szCs w:val="20"/>
          <w:lang w:val="en-US" w:eastAsia="ja-JP"/>
        </w:rPr>
        <w:t xml:space="preserve"> fractional factorial design</w:t>
      </w:r>
    </w:p>
    <w:tbl>
      <w:tblPr>
        <w:tblStyle w:val="TableGrid7"/>
        <w:tblpPr w:leftFromText="181" w:rightFromText="181" w:vertAnchor="text" w:horzAnchor="margin" w:tblpXSpec="center" w:tblpY="49"/>
        <w:tblOverlap w:val="never"/>
        <w:tblW w:w="10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817"/>
        <w:gridCol w:w="1014"/>
        <w:gridCol w:w="976"/>
        <w:gridCol w:w="1066"/>
        <w:gridCol w:w="1066"/>
        <w:gridCol w:w="1066"/>
        <w:gridCol w:w="976"/>
        <w:gridCol w:w="1066"/>
      </w:tblGrid>
      <w:tr w:rsidR="003D0EB3" w:rsidRPr="009E1CED" w14:paraId="6822AEE3" w14:textId="77777777" w:rsidTr="00A313DF">
        <w:trPr>
          <w:trHeight w:val="227"/>
        </w:trPr>
        <w:tc>
          <w:tcPr>
            <w:tcW w:w="0" w:type="auto"/>
            <w:tcBorders>
              <w:top w:val="single" w:sz="4" w:space="0" w:color="auto"/>
              <w:bottom w:val="single" w:sz="4" w:space="0" w:color="auto"/>
            </w:tcBorders>
            <w:shd w:val="clear" w:color="auto" w:fill="auto"/>
            <w:vAlign w:val="center"/>
          </w:tcPr>
          <w:p w14:paraId="08E65E7E"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Term</w:t>
            </w:r>
          </w:p>
        </w:tc>
        <w:tc>
          <w:tcPr>
            <w:tcW w:w="0" w:type="auto"/>
            <w:tcBorders>
              <w:top w:val="single" w:sz="4" w:space="0" w:color="auto"/>
              <w:bottom w:val="single" w:sz="4" w:space="0" w:color="auto"/>
            </w:tcBorders>
            <w:shd w:val="clear" w:color="auto" w:fill="auto"/>
            <w:vAlign w:val="center"/>
          </w:tcPr>
          <w:p w14:paraId="08C3B5B5"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Aliased</w:t>
            </w:r>
          </w:p>
        </w:tc>
        <w:tc>
          <w:tcPr>
            <w:tcW w:w="0" w:type="auto"/>
            <w:tcBorders>
              <w:top w:val="single" w:sz="4" w:space="0" w:color="auto"/>
              <w:bottom w:val="single" w:sz="4" w:space="0" w:color="auto"/>
            </w:tcBorders>
            <w:vAlign w:val="center"/>
          </w:tcPr>
          <w:p w14:paraId="571EA17E"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D</w:t>
            </w:r>
            <w:r w:rsidRPr="009E1CED">
              <w:rPr>
                <w:rFonts w:ascii="Arial" w:hAnsi="Arial"/>
                <w:b/>
                <w:bCs/>
                <w:sz w:val="20"/>
                <w:szCs w:val="20"/>
                <w:vertAlign w:val="subscript"/>
                <w:lang w:eastAsia="en-NZ"/>
              </w:rPr>
              <w:t>(v,10)</w:t>
            </w:r>
          </w:p>
          <w:p w14:paraId="4D263637"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(µm)</w:t>
            </w:r>
          </w:p>
        </w:tc>
        <w:tc>
          <w:tcPr>
            <w:tcW w:w="0" w:type="auto"/>
            <w:tcBorders>
              <w:top w:val="single" w:sz="4" w:space="0" w:color="auto"/>
              <w:bottom w:val="single" w:sz="4" w:space="0" w:color="auto"/>
            </w:tcBorders>
            <w:vAlign w:val="center"/>
          </w:tcPr>
          <w:p w14:paraId="4DFAB4D8"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D</w:t>
            </w:r>
            <w:r w:rsidRPr="009E1CED">
              <w:rPr>
                <w:rFonts w:ascii="Arial" w:hAnsi="Arial"/>
                <w:b/>
                <w:bCs/>
                <w:sz w:val="20"/>
                <w:szCs w:val="20"/>
                <w:vertAlign w:val="subscript"/>
                <w:lang w:eastAsia="en-NZ"/>
              </w:rPr>
              <w:t>(v,50)</w:t>
            </w:r>
          </w:p>
          <w:p w14:paraId="25F8ACA5"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(µm)</w:t>
            </w:r>
          </w:p>
        </w:tc>
        <w:tc>
          <w:tcPr>
            <w:tcW w:w="0" w:type="auto"/>
            <w:tcBorders>
              <w:top w:val="single" w:sz="4" w:space="0" w:color="auto"/>
              <w:bottom w:val="single" w:sz="4" w:space="0" w:color="auto"/>
            </w:tcBorders>
            <w:vAlign w:val="center"/>
          </w:tcPr>
          <w:p w14:paraId="5003F82D"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D</w:t>
            </w:r>
            <w:r w:rsidRPr="009E1CED">
              <w:rPr>
                <w:rFonts w:ascii="Arial" w:hAnsi="Arial"/>
                <w:b/>
                <w:bCs/>
                <w:sz w:val="20"/>
                <w:szCs w:val="20"/>
                <w:vertAlign w:val="subscript"/>
                <w:lang w:eastAsia="en-NZ"/>
              </w:rPr>
              <w:t>(v,90)</w:t>
            </w:r>
          </w:p>
          <w:p w14:paraId="4354C61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(µm)</w:t>
            </w:r>
          </w:p>
        </w:tc>
        <w:tc>
          <w:tcPr>
            <w:tcW w:w="0" w:type="auto"/>
            <w:tcBorders>
              <w:top w:val="single" w:sz="4" w:space="0" w:color="auto"/>
              <w:bottom w:val="single" w:sz="4" w:space="0" w:color="auto"/>
            </w:tcBorders>
            <w:vAlign w:val="center"/>
          </w:tcPr>
          <w:p w14:paraId="263F4D59"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Span</w:t>
            </w:r>
          </w:p>
          <w:p w14:paraId="65871AA2" w14:textId="77777777" w:rsidR="003D0EB3" w:rsidRPr="009E1CED" w:rsidRDefault="003D0EB3" w:rsidP="00A313DF">
            <w:pPr>
              <w:spacing w:after="0"/>
              <w:jc w:val="center"/>
              <w:rPr>
                <w:rFonts w:ascii="Arial" w:hAnsi="Arial"/>
                <w:sz w:val="20"/>
                <w:szCs w:val="20"/>
                <w:lang w:eastAsia="en-NZ"/>
              </w:rPr>
            </w:pPr>
          </w:p>
        </w:tc>
        <w:tc>
          <w:tcPr>
            <w:tcW w:w="0" w:type="auto"/>
            <w:tcBorders>
              <w:top w:val="single" w:sz="4" w:space="0" w:color="auto"/>
              <w:bottom w:val="single" w:sz="4" w:space="0" w:color="auto"/>
            </w:tcBorders>
            <w:shd w:val="clear" w:color="auto" w:fill="auto"/>
            <w:vAlign w:val="center"/>
          </w:tcPr>
          <w:p w14:paraId="0B15A7C0"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Yield</w:t>
            </w:r>
          </w:p>
          <w:p w14:paraId="58D11DA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tcBorders>
              <w:top w:val="single" w:sz="4" w:space="0" w:color="auto"/>
              <w:bottom w:val="single" w:sz="4" w:space="0" w:color="auto"/>
            </w:tcBorders>
            <w:vAlign w:val="center"/>
          </w:tcPr>
          <w:p w14:paraId="696AA21F" w14:textId="77777777" w:rsidR="003D0EB3" w:rsidRPr="009E1CED" w:rsidRDefault="003D0EB3" w:rsidP="00A313DF">
            <w:pPr>
              <w:spacing w:after="0"/>
              <w:jc w:val="center"/>
              <w:rPr>
                <w:rFonts w:ascii="Arial" w:hAnsi="Arial"/>
                <w:b/>
                <w:bCs/>
                <w:sz w:val="20"/>
                <w:szCs w:val="20"/>
                <w:lang w:eastAsia="en-NZ"/>
              </w:rPr>
            </w:pPr>
            <w:r w:rsidRPr="009E1CED">
              <w:rPr>
                <w:rFonts w:ascii="Arial" w:hAnsi="Arial"/>
                <w:b/>
                <w:bCs/>
                <w:sz w:val="20"/>
                <w:szCs w:val="20"/>
                <w:lang w:eastAsia="en-NZ"/>
              </w:rPr>
              <w:t>RMC</w:t>
            </w:r>
          </w:p>
          <w:p w14:paraId="3ADA6A09"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r>
      <w:tr w:rsidR="003D0EB3" w:rsidRPr="009E1CED" w14:paraId="426C70CD" w14:textId="77777777" w:rsidTr="00A313DF">
        <w:trPr>
          <w:trHeight w:val="67"/>
        </w:trPr>
        <w:tc>
          <w:tcPr>
            <w:tcW w:w="0" w:type="auto"/>
            <w:tcBorders>
              <w:top w:val="single" w:sz="4" w:space="0" w:color="auto"/>
            </w:tcBorders>
            <w:shd w:val="clear" w:color="auto" w:fill="auto"/>
            <w:vAlign w:val="center"/>
          </w:tcPr>
          <w:p w14:paraId="159C2F95"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Intercept</w:t>
            </w:r>
          </w:p>
        </w:tc>
        <w:tc>
          <w:tcPr>
            <w:tcW w:w="0" w:type="auto"/>
            <w:tcBorders>
              <w:top w:val="single" w:sz="4" w:space="0" w:color="auto"/>
            </w:tcBorders>
            <w:shd w:val="clear" w:color="auto" w:fill="auto"/>
            <w:vAlign w:val="center"/>
          </w:tcPr>
          <w:p w14:paraId="23DA16EF" w14:textId="77777777" w:rsidR="003D0EB3" w:rsidRPr="009E1CED" w:rsidRDefault="003D0EB3" w:rsidP="00A313DF">
            <w:pPr>
              <w:spacing w:after="0"/>
              <w:jc w:val="center"/>
              <w:rPr>
                <w:rFonts w:ascii="Arial" w:hAnsi="Arial"/>
                <w:sz w:val="20"/>
                <w:szCs w:val="20"/>
                <w:lang w:eastAsia="en-NZ"/>
              </w:rPr>
            </w:pPr>
          </w:p>
        </w:tc>
        <w:tc>
          <w:tcPr>
            <w:tcW w:w="0" w:type="auto"/>
            <w:tcBorders>
              <w:top w:val="single" w:sz="4" w:space="0" w:color="auto"/>
            </w:tcBorders>
            <w:shd w:val="clear" w:color="auto" w:fill="FFFFFF"/>
          </w:tcPr>
          <w:p w14:paraId="00AEA45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0.717*</w:t>
            </w:r>
          </w:p>
        </w:tc>
        <w:tc>
          <w:tcPr>
            <w:tcW w:w="0" w:type="auto"/>
            <w:shd w:val="clear" w:color="auto" w:fill="FFFFFF"/>
          </w:tcPr>
          <w:p w14:paraId="46E29AEE"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2.183*</w:t>
            </w:r>
          </w:p>
        </w:tc>
        <w:tc>
          <w:tcPr>
            <w:tcW w:w="0" w:type="auto"/>
            <w:shd w:val="clear" w:color="auto" w:fill="FFFFFF"/>
          </w:tcPr>
          <w:p w14:paraId="7E5E7EB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8.065*</w:t>
            </w:r>
          </w:p>
        </w:tc>
        <w:tc>
          <w:tcPr>
            <w:tcW w:w="0" w:type="auto"/>
            <w:shd w:val="clear" w:color="auto" w:fill="FFFFFF"/>
          </w:tcPr>
          <w:p w14:paraId="0A2F36A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4.132*</w:t>
            </w:r>
          </w:p>
        </w:tc>
        <w:tc>
          <w:tcPr>
            <w:tcW w:w="0" w:type="auto"/>
            <w:shd w:val="clear" w:color="auto" w:fill="FFFFFF"/>
          </w:tcPr>
          <w:p w14:paraId="504F685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45.89*</w:t>
            </w:r>
          </w:p>
        </w:tc>
        <w:tc>
          <w:tcPr>
            <w:tcW w:w="0" w:type="auto"/>
            <w:shd w:val="clear" w:color="auto" w:fill="FFFFFF"/>
          </w:tcPr>
          <w:p w14:paraId="1163F2F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2.831*</w:t>
            </w:r>
          </w:p>
        </w:tc>
      </w:tr>
      <w:tr w:rsidR="003D0EB3" w:rsidRPr="009E1CED" w14:paraId="3087F255" w14:textId="77777777" w:rsidTr="00A313DF">
        <w:trPr>
          <w:trHeight w:val="72"/>
        </w:trPr>
        <w:tc>
          <w:tcPr>
            <w:tcW w:w="0" w:type="auto"/>
            <w:shd w:val="clear" w:color="auto" w:fill="auto"/>
          </w:tcPr>
          <w:p w14:paraId="55305378"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 (solute concentration)</w:t>
            </w:r>
          </w:p>
        </w:tc>
        <w:tc>
          <w:tcPr>
            <w:tcW w:w="0" w:type="auto"/>
            <w:shd w:val="clear" w:color="auto" w:fill="auto"/>
            <w:vAlign w:val="center"/>
          </w:tcPr>
          <w:p w14:paraId="39FF0B1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BCD</w:t>
            </w:r>
          </w:p>
        </w:tc>
        <w:tc>
          <w:tcPr>
            <w:tcW w:w="0" w:type="auto"/>
            <w:shd w:val="clear" w:color="auto" w:fill="FFFFFF"/>
          </w:tcPr>
          <w:p w14:paraId="085A66A7"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0.193</w:t>
            </w:r>
          </w:p>
        </w:tc>
        <w:tc>
          <w:tcPr>
            <w:tcW w:w="0" w:type="auto"/>
            <w:shd w:val="clear" w:color="auto" w:fill="FFFFFF"/>
          </w:tcPr>
          <w:p w14:paraId="0F20C599"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0.749</w:t>
            </w:r>
          </w:p>
        </w:tc>
        <w:tc>
          <w:tcPr>
            <w:tcW w:w="0" w:type="auto"/>
            <w:shd w:val="clear" w:color="auto" w:fill="FFFFFF"/>
          </w:tcPr>
          <w:p w14:paraId="7749498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-0.139</w:t>
            </w:r>
          </w:p>
        </w:tc>
        <w:tc>
          <w:tcPr>
            <w:tcW w:w="0" w:type="auto"/>
            <w:shd w:val="clear" w:color="auto" w:fill="FFFFFF"/>
          </w:tcPr>
          <w:p w14:paraId="5195F2A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-1.892*</w:t>
            </w:r>
          </w:p>
        </w:tc>
        <w:tc>
          <w:tcPr>
            <w:tcW w:w="0" w:type="auto"/>
            <w:shd w:val="clear" w:color="auto" w:fill="FFFFFF"/>
          </w:tcPr>
          <w:p w14:paraId="008A658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18.94*</w:t>
            </w:r>
          </w:p>
        </w:tc>
        <w:tc>
          <w:tcPr>
            <w:tcW w:w="0" w:type="auto"/>
            <w:shd w:val="clear" w:color="auto" w:fill="FFFFFF"/>
          </w:tcPr>
          <w:p w14:paraId="5864DD3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0.0100</w:t>
            </w:r>
          </w:p>
        </w:tc>
      </w:tr>
      <w:tr w:rsidR="003D0EB3" w:rsidRPr="009E1CED" w14:paraId="5F21D108" w14:textId="77777777" w:rsidTr="00A313DF">
        <w:trPr>
          <w:trHeight w:val="72"/>
        </w:trPr>
        <w:tc>
          <w:tcPr>
            <w:tcW w:w="0" w:type="auto"/>
            <w:shd w:val="clear" w:color="auto" w:fill="auto"/>
          </w:tcPr>
          <w:p w14:paraId="6A687A4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B (solution flow rate)</w:t>
            </w:r>
          </w:p>
        </w:tc>
        <w:tc>
          <w:tcPr>
            <w:tcW w:w="0" w:type="auto"/>
            <w:shd w:val="clear" w:color="auto" w:fill="auto"/>
            <w:vAlign w:val="center"/>
          </w:tcPr>
          <w:p w14:paraId="4527AFA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ACD</w:t>
            </w:r>
          </w:p>
        </w:tc>
        <w:tc>
          <w:tcPr>
            <w:tcW w:w="0" w:type="auto"/>
            <w:shd w:val="clear" w:color="auto" w:fill="FFFFFF"/>
          </w:tcPr>
          <w:p w14:paraId="1E89E2B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0.0375</w:t>
            </w:r>
          </w:p>
        </w:tc>
        <w:tc>
          <w:tcPr>
            <w:tcW w:w="0" w:type="auto"/>
            <w:shd w:val="clear" w:color="auto" w:fill="FFFFFF"/>
          </w:tcPr>
          <w:p w14:paraId="2ACC8DC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0.2825*</w:t>
            </w:r>
          </w:p>
        </w:tc>
        <w:tc>
          <w:tcPr>
            <w:tcW w:w="0" w:type="auto"/>
            <w:shd w:val="clear" w:color="auto" w:fill="FFFFFF"/>
          </w:tcPr>
          <w:p w14:paraId="0467133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0.858*</w:t>
            </w:r>
          </w:p>
        </w:tc>
        <w:tc>
          <w:tcPr>
            <w:tcW w:w="0" w:type="auto"/>
            <w:shd w:val="clear" w:color="auto" w:fill="FFFFFF"/>
          </w:tcPr>
          <w:p w14:paraId="0157C56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1F3C8CE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7.80*</w:t>
            </w:r>
          </w:p>
        </w:tc>
        <w:tc>
          <w:tcPr>
            <w:tcW w:w="0" w:type="auto"/>
            <w:shd w:val="clear" w:color="auto" w:fill="FFFFFF"/>
          </w:tcPr>
          <w:p w14:paraId="70F76D1C"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0.1255*</w:t>
            </w:r>
          </w:p>
        </w:tc>
      </w:tr>
      <w:tr w:rsidR="003D0EB3" w:rsidRPr="009E1CED" w14:paraId="4F5DC924" w14:textId="77777777" w:rsidTr="00A313DF">
        <w:trPr>
          <w:trHeight w:val="67"/>
        </w:trPr>
        <w:tc>
          <w:tcPr>
            <w:tcW w:w="0" w:type="auto"/>
            <w:shd w:val="clear" w:color="auto" w:fill="auto"/>
          </w:tcPr>
          <w:p w14:paraId="2F5CF9E5"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C (atomizing air flow rate)</w:t>
            </w:r>
          </w:p>
        </w:tc>
        <w:tc>
          <w:tcPr>
            <w:tcW w:w="0" w:type="auto"/>
            <w:shd w:val="clear" w:color="auto" w:fill="auto"/>
            <w:vAlign w:val="center"/>
          </w:tcPr>
          <w:p w14:paraId="1CEBA5CD"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ABD</w:t>
            </w:r>
          </w:p>
        </w:tc>
        <w:tc>
          <w:tcPr>
            <w:tcW w:w="0" w:type="auto"/>
            <w:shd w:val="clear" w:color="auto" w:fill="FFFFFF"/>
          </w:tcPr>
          <w:p w14:paraId="17447A9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-0.0333</w:t>
            </w:r>
          </w:p>
        </w:tc>
        <w:tc>
          <w:tcPr>
            <w:tcW w:w="0" w:type="auto"/>
            <w:shd w:val="clear" w:color="auto" w:fill="FFFFFF"/>
          </w:tcPr>
          <w:p w14:paraId="3920F4BD"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-0.1700*</w:t>
            </w:r>
          </w:p>
        </w:tc>
        <w:tc>
          <w:tcPr>
            <w:tcW w:w="0" w:type="auto"/>
            <w:shd w:val="clear" w:color="auto" w:fill="FFFFFF"/>
          </w:tcPr>
          <w:p w14:paraId="4059BB5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-0.9267*</w:t>
            </w:r>
          </w:p>
        </w:tc>
        <w:tc>
          <w:tcPr>
            <w:tcW w:w="0" w:type="auto"/>
            <w:shd w:val="clear" w:color="auto" w:fill="FFFFFF"/>
          </w:tcPr>
          <w:p w14:paraId="4D75F4A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-0.4125*</w:t>
            </w:r>
          </w:p>
        </w:tc>
        <w:tc>
          <w:tcPr>
            <w:tcW w:w="0" w:type="auto"/>
            <w:shd w:val="clear" w:color="auto" w:fill="FFFFFF"/>
          </w:tcPr>
          <w:p w14:paraId="41371C35" w14:textId="77777777" w:rsidR="003D0EB3" w:rsidRPr="009E1CED" w:rsidRDefault="003D0EB3" w:rsidP="00A313DF">
            <w:pPr>
              <w:spacing w:after="0"/>
              <w:jc w:val="center"/>
              <w:rPr>
                <w:rFonts w:ascii="Arial" w:hAnsi="Arial"/>
                <w:b/>
                <w:sz w:val="20"/>
                <w:szCs w:val="20"/>
                <w:lang w:eastAsia="en-NZ"/>
              </w:rPr>
            </w:pPr>
            <w:r w:rsidRPr="009E1CED">
              <w:rPr>
                <w:rFonts w:ascii="Arial" w:hAnsi="Arial"/>
                <w:sz w:val="20"/>
                <w:szCs w:val="20"/>
                <w:lang w:eastAsia="en-NZ"/>
              </w:rPr>
              <w:t>-2.433</w:t>
            </w:r>
          </w:p>
        </w:tc>
        <w:tc>
          <w:tcPr>
            <w:tcW w:w="0" w:type="auto"/>
            <w:shd w:val="clear" w:color="auto" w:fill="FFFFFF"/>
          </w:tcPr>
          <w:p w14:paraId="7A41F4EB" w14:textId="77777777" w:rsidR="003D0EB3" w:rsidRPr="009E1CED" w:rsidRDefault="003D0EB3" w:rsidP="00A313DF">
            <w:pPr>
              <w:spacing w:after="0"/>
              <w:jc w:val="center"/>
              <w:rPr>
                <w:rFonts w:ascii="Arial" w:hAnsi="Arial"/>
                <w:b/>
                <w:sz w:val="20"/>
                <w:szCs w:val="20"/>
                <w:lang w:eastAsia="en-NZ"/>
              </w:rPr>
            </w:pPr>
            <w:r w:rsidRPr="009E1CED">
              <w:rPr>
                <w:rFonts w:ascii="Arial" w:hAnsi="Arial"/>
                <w:sz w:val="20"/>
                <w:szCs w:val="20"/>
                <w:lang w:eastAsia="en-NZ"/>
              </w:rPr>
              <w:t>-0.0362</w:t>
            </w:r>
          </w:p>
        </w:tc>
      </w:tr>
      <w:tr w:rsidR="003D0EB3" w:rsidRPr="009E1CED" w14:paraId="25093C4E" w14:textId="77777777" w:rsidTr="00A313DF">
        <w:trPr>
          <w:trHeight w:val="72"/>
        </w:trPr>
        <w:tc>
          <w:tcPr>
            <w:tcW w:w="0" w:type="auto"/>
            <w:shd w:val="clear" w:color="auto" w:fill="auto"/>
          </w:tcPr>
          <w:p w14:paraId="5BFA47F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D (inlet temperature)</w:t>
            </w:r>
          </w:p>
        </w:tc>
        <w:tc>
          <w:tcPr>
            <w:tcW w:w="0" w:type="auto"/>
            <w:shd w:val="clear" w:color="auto" w:fill="auto"/>
            <w:vAlign w:val="center"/>
          </w:tcPr>
          <w:p w14:paraId="2BA7991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ABC</w:t>
            </w:r>
          </w:p>
        </w:tc>
        <w:tc>
          <w:tcPr>
            <w:tcW w:w="0" w:type="auto"/>
            <w:shd w:val="clear" w:color="auto" w:fill="FFFFFF"/>
          </w:tcPr>
          <w:p w14:paraId="57A7B57B"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-0.1025</w:t>
            </w:r>
          </w:p>
        </w:tc>
        <w:tc>
          <w:tcPr>
            <w:tcW w:w="0" w:type="auto"/>
            <w:shd w:val="clear" w:color="auto" w:fill="FFFFFF"/>
          </w:tcPr>
          <w:p w14:paraId="57EA122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-0.4300*</w:t>
            </w:r>
          </w:p>
        </w:tc>
        <w:tc>
          <w:tcPr>
            <w:tcW w:w="0" w:type="auto"/>
            <w:shd w:val="clear" w:color="auto" w:fill="FFFFFF"/>
          </w:tcPr>
          <w:p w14:paraId="49C6BC7B"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-1.165*</w:t>
            </w:r>
          </w:p>
        </w:tc>
        <w:tc>
          <w:tcPr>
            <w:tcW w:w="0" w:type="auto"/>
          </w:tcPr>
          <w:p w14:paraId="6839868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01EA228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-10.65*</w:t>
            </w:r>
          </w:p>
        </w:tc>
        <w:tc>
          <w:tcPr>
            <w:tcW w:w="0" w:type="auto"/>
            <w:shd w:val="clear" w:color="auto" w:fill="FFFFFF"/>
          </w:tcPr>
          <w:p w14:paraId="0E3BBE89"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-0.4772*</w:t>
            </w:r>
          </w:p>
        </w:tc>
      </w:tr>
      <w:tr w:rsidR="003D0EB3" w:rsidRPr="009E1CED" w14:paraId="753BF54D" w14:textId="77777777" w:rsidTr="00A313DF">
        <w:trPr>
          <w:trHeight w:val="79"/>
        </w:trPr>
        <w:tc>
          <w:tcPr>
            <w:tcW w:w="0" w:type="auto"/>
            <w:shd w:val="clear" w:color="auto" w:fill="auto"/>
            <w:vAlign w:val="center"/>
          </w:tcPr>
          <w:p w14:paraId="6E5B3F18"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AB</w:t>
            </w:r>
          </w:p>
        </w:tc>
        <w:tc>
          <w:tcPr>
            <w:tcW w:w="0" w:type="auto"/>
            <w:shd w:val="clear" w:color="auto" w:fill="auto"/>
            <w:vAlign w:val="center"/>
          </w:tcPr>
          <w:p w14:paraId="3D9075D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CD</w:t>
            </w:r>
          </w:p>
        </w:tc>
        <w:tc>
          <w:tcPr>
            <w:tcW w:w="0" w:type="auto"/>
            <w:shd w:val="clear" w:color="auto" w:fill="FFFFFF"/>
          </w:tcPr>
          <w:p w14:paraId="6A060907"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049553C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0.1625</w:t>
            </w:r>
          </w:p>
        </w:tc>
        <w:tc>
          <w:tcPr>
            <w:tcW w:w="0" w:type="auto"/>
            <w:shd w:val="clear" w:color="auto" w:fill="FFFFFF"/>
          </w:tcPr>
          <w:p w14:paraId="6FBB7A9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0.598</w:t>
            </w:r>
          </w:p>
        </w:tc>
        <w:tc>
          <w:tcPr>
            <w:tcW w:w="0" w:type="auto"/>
          </w:tcPr>
          <w:p w14:paraId="0659E9E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426E81CE"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4.22</w:t>
            </w:r>
          </w:p>
        </w:tc>
        <w:tc>
          <w:tcPr>
            <w:tcW w:w="0" w:type="auto"/>
            <w:shd w:val="clear" w:color="auto" w:fill="FFFFFF"/>
          </w:tcPr>
          <w:p w14:paraId="24769B99"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0.0308</w:t>
            </w:r>
          </w:p>
        </w:tc>
      </w:tr>
      <w:tr w:rsidR="003D0EB3" w:rsidRPr="009E1CED" w14:paraId="0A8B34A7" w14:textId="77777777" w:rsidTr="00A313DF">
        <w:trPr>
          <w:trHeight w:val="94"/>
        </w:trPr>
        <w:tc>
          <w:tcPr>
            <w:tcW w:w="0" w:type="auto"/>
            <w:shd w:val="clear" w:color="auto" w:fill="auto"/>
            <w:vAlign w:val="center"/>
          </w:tcPr>
          <w:p w14:paraId="183E781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AC</w:t>
            </w:r>
          </w:p>
        </w:tc>
        <w:tc>
          <w:tcPr>
            <w:tcW w:w="0" w:type="auto"/>
            <w:shd w:val="clear" w:color="auto" w:fill="auto"/>
            <w:vAlign w:val="center"/>
          </w:tcPr>
          <w:p w14:paraId="2F91100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BD</w:t>
            </w:r>
          </w:p>
        </w:tc>
        <w:tc>
          <w:tcPr>
            <w:tcW w:w="0" w:type="auto"/>
          </w:tcPr>
          <w:p w14:paraId="6B1F921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-0.0317</w:t>
            </w:r>
          </w:p>
        </w:tc>
        <w:tc>
          <w:tcPr>
            <w:tcW w:w="0" w:type="auto"/>
            <w:shd w:val="clear" w:color="auto" w:fill="FFFFFF"/>
          </w:tcPr>
          <w:p w14:paraId="353437C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-0.1233</w:t>
            </w:r>
          </w:p>
        </w:tc>
        <w:tc>
          <w:tcPr>
            <w:tcW w:w="0" w:type="auto"/>
            <w:shd w:val="clear" w:color="auto" w:fill="FFFFFF"/>
          </w:tcPr>
          <w:p w14:paraId="2F4C826B"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0.0133</w:t>
            </w:r>
          </w:p>
        </w:tc>
        <w:tc>
          <w:tcPr>
            <w:tcW w:w="0" w:type="auto"/>
          </w:tcPr>
          <w:p w14:paraId="25341465"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0.3042*</w:t>
            </w:r>
          </w:p>
        </w:tc>
        <w:tc>
          <w:tcPr>
            <w:tcW w:w="0" w:type="auto"/>
            <w:shd w:val="clear" w:color="auto" w:fill="FFFFFF"/>
          </w:tcPr>
          <w:p w14:paraId="59FF3225"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-2.845</w:t>
            </w:r>
          </w:p>
        </w:tc>
        <w:tc>
          <w:tcPr>
            <w:tcW w:w="0" w:type="auto"/>
            <w:vAlign w:val="center"/>
          </w:tcPr>
          <w:p w14:paraId="2E338BE9"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r>
      <w:tr w:rsidR="003D0EB3" w:rsidRPr="009E1CED" w14:paraId="6783C217" w14:textId="77777777" w:rsidTr="00A313DF">
        <w:trPr>
          <w:trHeight w:val="74"/>
        </w:trPr>
        <w:tc>
          <w:tcPr>
            <w:tcW w:w="0" w:type="auto"/>
            <w:tcBorders>
              <w:bottom w:val="single" w:sz="4" w:space="0" w:color="auto"/>
            </w:tcBorders>
            <w:shd w:val="clear" w:color="auto" w:fill="auto"/>
            <w:vAlign w:val="center"/>
          </w:tcPr>
          <w:p w14:paraId="196F975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AD</w:t>
            </w:r>
          </w:p>
        </w:tc>
        <w:tc>
          <w:tcPr>
            <w:tcW w:w="0" w:type="auto"/>
            <w:tcBorders>
              <w:bottom w:val="single" w:sz="4" w:space="0" w:color="auto"/>
            </w:tcBorders>
            <w:shd w:val="clear" w:color="auto" w:fill="auto"/>
            <w:vAlign w:val="center"/>
          </w:tcPr>
          <w:p w14:paraId="690D2EE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BC</w:t>
            </w:r>
          </w:p>
        </w:tc>
        <w:tc>
          <w:tcPr>
            <w:tcW w:w="0" w:type="auto"/>
            <w:tcBorders>
              <w:bottom w:val="single" w:sz="4" w:space="0" w:color="auto"/>
            </w:tcBorders>
          </w:tcPr>
          <w:p w14:paraId="39CC64E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7146B7DE"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-0.1800</w:t>
            </w:r>
          </w:p>
        </w:tc>
        <w:tc>
          <w:tcPr>
            <w:tcW w:w="0" w:type="auto"/>
            <w:shd w:val="clear" w:color="auto" w:fill="FFFFFF"/>
          </w:tcPr>
          <w:p w14:paraId="4108BF5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-0.585</w:t>
            </w:r>
          </w:p>
        </w:tc>
        <w:tc>
          <w:tcPr>
            <w:tcW w:w="0" w:type="auto"/>
            <w:tcBorders>
              <w:bottom w:val="single" w:sz="4" w:space="0" w:color="auto"/>
            </w:tcBorders>
          </w:tcPr>
          <w:p w14:paraId="07A0C0C7"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c>
          <w:tcPr>
            <w:tcW w:w="0" w:type="auto"/>
            <w:shd w:val="clear" w:color="auto" w:fill="FFFFFF"/>
          </w:tcPr>
          <w:p w14:paraId="3D103BCE"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-2.40</w:t>
            </w:r>
          </w:p>
        </w:tc>
        <w:tc>
          <w:tcPr>
            <w:tcW w:w="0" w:type="auto"/>
            <w:tcBorders>
              <w:bottom w:val="single" w:sz="4" w:space="0" w:color="auto"/>
            </w:tcBorders>
            <w:vAlign w:val="center"/>
          </w:tcPr>
          <w:p w14:paraId="32D3197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w:t>
            </w:r>
          </w:p>
        </w:tc>
      </w:tr>
      <w:tr w:rsidR="003D0EB3" w:rsidRPr="009E1CED" w14:paraId="4583B8A0" w14:textId="77777777" w:rsidTr="00A313DF">
        <w:trPr>
          <w:trHeight w:val="74"/>
        </w:trPr>
        <w:tc>
          <w:tcPr>
            <w:tcW w:w="0" w:type="auto"/>
            <w:tcBorders>
              <w:top w:val="single" w:sz="4" w:space="0" w:color="auto"/>
            </w:tcBorders>
            <w:shd w:val="clear" w:color="auto" w:fill="auto"/>
            <w:vAlign w:val="center"/>
          </w:tcPr>
          <w:p w14:paraId="44B9D57B"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Model (</w:t>
            </w:r>
            <w:r w:rsidRPr="009E1CED">
              <w:rPr>
                <w:rFonts w:ascii="Arial" w:hAnsi="Arial"/>
                <w:iCs/>
                <w:sz w:val="20"/>
                <w:szCs w:val="20"/>
                <w:lang w:eastAsia="en-NZ"/>
              </w:rPr>
              <w:t>p</w:t>
            </w:r>
            <w:r w:rsidRPr="009E1CED">
              <w:rPr>
                <w:rFonts w:ascii="Arial" w:hAnsi="Arial"/>
                <w:sz w:val="20"/>
                <w:szCs w:val="20"/>
                <w:lang w:eastAsia="en-NZ"/>
              </w:rPr>
              <w:t xml:space="preserve"> value)</w:t>
            </w:r>
            <w:r w:rsidRPr="009E1CED">
              <w:rPr>
                <w:rFonts w:ascii="Arial" w:hAnsi="Arial"/>
                <w:sz w:val="20"/>
                <w:szCs w:val="20"/>
                <w:vertAlign w:val="superscript"/>
                <w:lang w:eastAsia="en-NZ"/>
              </w:rPr>
              <w:t>a</w:t>
            </w:r>
          </w:p>
        </w:tc>
        <w:tc>
          <w:tcPr>
            <w:tcW w:w="0" w:type="auto"/>
            <w:tcBorders>
              <w:top w:val="single" w:sz="4" w:space="0" w:color="auto"/>
            </w:tcBorders>
            <w:shd w:val="clear" w:color="auto" w:fill="auto"/>
            <w:vAlign w:val="center"/>
          </w:tcPr>
          <w:p w14:paraId="283FA375" w14:textId="77777777" w:rsidR="003D0EB3" w:rsidRPr="009E1CED" w:rsidRDefault="003D0EB3" w:rsidP="00A313DF">
            <w:pPr>
              <w:spacing w:after="0"/>
              <w:jc w:val="center"/>
              <w:rPr>
                <w:rFonts w:ascii="Arial" w:hAnsi="Arial"/>
                <w:sz w:val="20"/>
                <w:szCs w:val="20"/>
                <w:lang w:eastAsia="en-NZ"/>
              </w:rPr>
            </w:pPr>
          </w:p>
        </w:tc>
        <w:tc>
          <w:tcPr>
            <w:tcW w:w="0" w:type="auto"/>
            <w:tcBorders>
              <w:top w:val="single" w:sz="4" w:space="0" w:color="auto"/>
            </w:tcBorders>
            <w:shd w:val="clear" w:color="auto" w:fill="auto"/>
            <w:vAlign w:val="center"/>
          </w:tcPr>
          <w:p w14:paraId="2C6E75D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0.217</w:t>
            </w:r>
          </w:p>
        </w:tc>
        <w:tc>
          <w:tcPr>
            <w:tcW w:w="0" w:type="auto"/>
            <w:tcBorders>
              <w:top w:val="single" w:sz="4" w:space="0" w:color="auto"/>
            </w:tcBorders>
            <w:shd w:val="clear" w:color="auto" w:fill="auto"/>
            <w:vAlign w:val="center"/>
          </w:tcPr>
          <w:p w14:paraId="24AB13F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0.047</w:t>
            </w:r>
          </w:p>
        </w:tc>
        <w:tc>
          <w:tcPr>
            <w:tcW w:w="0" w:type="auto"/>
            <w:tcBorders>
              <w:top w:val="single" w:sz="4" w:space="0" w:color="auto"/>
            </w:tcBorders>
            <w:shd w:val="clear" w:color="auto" w:fill="auto"/>
            <w:vAlign w:val="center"/>
          </w:tcPr>
          <w:p w14:paraId="5228DACB"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0.030</w:t>
            </w:r>
          </w:p>
        </w:tc>
        <w:tc>
          <w:tcPr>
            <w:tcW w:w="0" w:type="auto"/>
            <w:tcBorders>
              <w:top w:val="single" w:sz="4" w:space="0" w:color="auto"/>
            </w:tcBorders>
            <w:vAlign w:val="center"/>
          </w:tcPr>
          <w:p w14:paraId="045E7A3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0.008</w:t>
            </w:r>
          </w:p>
        </w:tc>
        <w:tc>
          <w:tcPr>
            <w:tcW w:w="0" w:type="auto"/>
            <w:tcBorders>
              <w:top w:val="single" w:sz="4" w:space="0" w:color="auto"/>
            </w:tcBorders>
            <w:shd w:val="clear" w:color="auto" w:fill="auto"/>
            <w:vAlign w:val="center"/>
          </w:tcPr>
          <w:p w14:paraId="378322A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0.032</w:t>
            </w:r>
          </w:p>
        </w:tc>
        <w:tc>
          <w:tcPr>
            <w:tcW w:w="0" w:type="auto"/>
            <w:tcBorders>
              <w:top w:val="single" w:sz="4" w:space="0" w:color="auto"/>
            </w:tcBorders>
            <w:shd w:val="clear" w:color="auto" w:fill="auto"/>
            <w:vAlign w:val="center"/>
          </w:tcPr>
          <w:p w14:paraId="3CD4A9D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0.002</w:t>
            </w:r>
          </w:p>
        </w:tc>
      </w:tr>
      <w:tr w:rsidR="003D0EB3" w:rsidRPr="009E1CED" w14:paraId="26605B98" w14:textId="77777777" w:rsidTr="00A313DF">
        <w:trPr>
          <w:trHeight w:val="74"/>
        </w:trPr>
        <w:tc>
          <w:tcPr>
            <w:tcW w:w="0" w:type="auto"/>
            <w:shd w:val="clear" w:color="auto" w:fill="auto"/>
            <w:vAlign w:val="center"/>
          </w:tcPr>
          <w:p w14:paraId="694EBC1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Lack of fit (</w:t>
            </w:r>
            <w:r w:rsidRPr="009E1CED">
              <w:rPr>
                <w:rFonts w:ascii="Arial" w:hAnsi="Arial"/>
                <w:iCs/>
                <w:sz w:val="20"/>
                <w:szCs w:val="20"/>
                <w:lang w:eastAsia="en-NZ"/>
              </w:rPr>
              <w:t>p</w:t>
            </w:r>
            <w:r w:rsidRPr="009E1CED">
              <w:rPr>
                <w:rFonts w:ascii="Arial" w:hAnsi="Arial"/>
                <w:sz w:val="20"/>
                <w:szCs w:val="20"/>
                <w:lang w:eastAsia="en-NZ"/>
              </w:rPr>
              <w:t xml:space="preserve"> value)</w:t>
            </w:r>
            <w:r w:rsidRPr="009E1CED">
              <w:rPr>
                <w:rFonts w:ascii="Arial" w:hAnsi="Arial"/>
                <w:sz w:val="20"/>
                <w:szCs w:val="20"/>
                <w:vertAlign w:val="superscript"/>
                <w:lang w:eastAsia="en-NZ"/>
              </w:rPr>
              <w:t>b</w:t>
            </w:r>
          </w:p>
        </w:tc>
        <w:tc>
          <w:tcPr>
            <w:tcW w:w="0" w:type="auto"/>
            <w:shd w:val="clear" w:color="auto" w:fill="auto"/>
            <w:vAlign w:val="center"/>
          </w:tcPr>
          <w:p w14:paraId="0C91F89A" w14:textId="77777777" w:rsidR="003D0EB3" w:rsidRPr="009E1CED" w:rsidRDefault="003D0EB3" w:rsidP="00A313DF">
            <w:pPr>
              <w:spacing w:after="0"/>
              <w:jc w:val="center"/>
              <w:rPr>
                <w:rFonts w:ascii="Arial" w:hAnsi="Arial"/>
                <w:sz w:val="20"/>
                <w:szCs w:val="20"/>
                <w:lang w:eastAsia="en-NZ"/>
              </w:rPr>
            </w:pPr>
          </w:p>
        </w:tc>
        <w:tc>
          <w:tcPr>
            <w:tcW w:w="0" w:type="auto"/>
            <w:shd w:val="clear" w:color="auto" w:fill="auto"/>
            <w:vAlign w:val="center"/>
          </w:tcPr>
          <w:p w14:paraId="56FADB4D"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0.735</w:t>
            </w:r>
          </w:p>
        </w:tc>
        <w:tc>
          <w:tcPr>
            <w:tcW w:w="0" w:type="auto"/>
            <w:shd w:val="clear" w:color="auto" w:fill="auto"/>
            <w:vAlign w:val="center"/>
          </w:tcPr>
          <w:p w14:paraId="70BBEB0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0.320</w:t>
            </w:r>
          </w:p>
        </w:tc>
        <w:tc>
          <w:tcPr>
            <w:tcW w:w="0" w:type="auto"/>
            <w:shd w:val="clear" w:color="auto" w:fill="auto"/>
            <w:vAlign w:val="center"/>
          </w:tcPr>
          <w:p w14:paraId="7433F4AE"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0.381</w:t>
            </w:r>
          </w:p>
        </w:tc>
        <w:tc>
          <w:tcPr>
            <w:tcW w:w="0" w:type="auto"/>
            <w:vAlign w:val="center"/>
          </w:tcPr>
          <w:p w14:paraId="083EBDB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0.232</w:t>
            </w:r>
          </w:p>
        </w:tc>
        <w:tc>
          <w:tcPr>
            <w:tcW w:w="0" w:type="auto"/>
            <w:shd w:val="clear" w:color="auto" w:fill="auto"/>
            <w:vAlign w:val="center"/>
          </w:tcPr>
          <w:p w14:paraId="6A00A46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0.887</w:t>
            </w:r>
          </w:p>
        </w:tc>
        <w:tc>
          <w:tcPr>
            <w:tcW w:w="0" w:type="auto"/>
            <w:shd w:val="clear" w:color="auto" w:fill="auto"/>
            <w:vAlign w:val="center"/>
          </w:tcPr>
          <w:p w14:paraId="35AF6FC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0.456</w:t>
            </w:r>
          </w:p>
        </w:tc>
      </w:tr>
      <w:tr w:rsidR="003D0EB3" w:rsidRPr="009E1CED" w14:paraId="143624FA" w14:textId="77777777" w:rsidTr="00A313DF">
        <w:trPr>
          <w:trHeight w:val="72"/>
        </w:trPr>
        <w:tc>
          <w:tcPr>
            <w:tcW w:w="0" w:type="auto"/>
            <w:shd w:val="clear" w:color="auto" w:fill="auto"/>
            <w:vAlign w:val="center"/>
          </w:tcPr>
          <w:p w14:paraId="59A6AD6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R</w:t>
            </w:r>
            <w:r w:rsidRPr="009E1CED">
              <w:rPr>
                <w:rFonts w:ascii="Arial" w:hAnsi="Arial"/>
                <w:sz w:val="20"/>
                <w:szCs w:val="20"/>
                <w:vertAlign w:val="superscript"/>
                <w:lang w:eastAsia="en-NZ"/>
              </w:rPr>
              <w:t>2</w:t>
            </w:r>
          </w:p>
        </w:tc>
        <w:tc>
          <w:tcPr>
            <w:tcW w:w="0" w:type="auto"/>
            <w:shd w:val="clear" w:color="auto" w:fill="auto"/>
            <w:vAlign w:val="center"/>
          </w:tcPr>
          <w:p w14:paraId="6A5865A5" w14:textId="77777777" w:rsidR="003D0EB3" w:rsidRPr="009E1CED" w:rsidRDefault="003D0EB3" w:rsidP="00A313DF">
            <w:pPr>
              <w:spacing w:after="0"/>
              <w:jc w:val="center"/>
              <w:rPr>
                <w:rFonts w:ascii="Arial" w:hAnsi="Arial"/>
                <w:sz w:val="20"/>
                <w:szCs w:val="20"/>
                <w:lang w:eastAsia="en-NZ"/>
              </w:rPr>
            </w:pPr>
          </w:p>
        </w:tc>
        <w:tc>
          <w:tcPr>
            <w:tcW w:w="0" w:type="auto"/>
            <w:shd w:val="clear" w:color="auto" w:fill="auto"/>
            <w:vAlign w:val="center"/>
          </w:tcPr>
          <w:p w14:paraId="5C40617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74.40%</w:t>
            </w:r>
          </w:p>
        </w:tc>
        <w:tc>
          <w:tcPr>
            <w:tcW w:w="0" w:type="auto"/>
            <w:shd w:val="clear" w:color="auto" w:fill="auto"/>
            <w:vAlign w:val="center"/>
          </w:tcPr>
          <w:p w14:paraId="2CE86CCC"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98.64%</w:t>
            </w:r>
          </w:p>
        </w:tc>
        <w:tc>
          <w:tcPr>
            <w:tcW w:w="0" w:type="auto"/>
            <w:shd w:val="clear" w:color="auto" w:fill="auto"/>
            <w:vAlign w:val="center"/>
          </w:tcPr>
          <w:p w14:paraId="6BA2A207"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99.13%</w:t>
            </w:r>
          </w:p>
        </w:tc>
        <w:tc>
          <w:tcPr>
            <w:tcW w:w="0" w:type="auto"/>
            <w:vAlign w:val="center"/>
          </w:tcPr>
          <w:p w14:paraId="592ED12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84.55%</w:t>
            </w:r>
          </w:p>
        </w:tc>
        <w:tc>
          <w:tcPr>
            <w:tcW w:w="0" w:type="auto"/>
            <w:shd w:val="clear" w:color="auto" w:fill="auto"/>
            <w:vAlign w:val="center"/>
          </w:tcPr>
          <w:p w14:paraId="741B246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99.09%</w:t>
            </w:r>
          </w:p>
        </w:tc>
        <w:tc>
          <w:tcPr>
            <w:tcW w:w="0" w:type="auto"/>
            <w:shd w:val="clear" w:color="auto" w:fill="auto"/>
            <w:vAlign w:val="center"/>
          </w:tcPr>
          <w:p w14:paraId="504F7B3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97.77%</w:t>
            </w:r>
          </w:p>
        </w:tc>
      </w:tr>
      <w:tr w:rsidR="003D0EB3" w:rsidRPr="009E1CED" w14:paraId="69F7967B" w14:textId="77777777" w:rsidTr="00A313DF">
        <w:trPr>
          <w:trHeight w:val="72"/>
        </w:trPr>
        <w:tc>
          <w:tcPr>
            <w:tcW w:w="0" w:type="auto"/>
            <w:tcBorders>
              <w:bottom w:val="single" w:sz="4" w:space="0" w:color="auto"/>
            </w:tcBorders>
            <w:shd w:val="clear" w:color="auto" w:fill="auto"/>
            <w:vAlign w:val="center"/>
          </w:tcPr>
          <w:p w14:paraId="7C354F4D"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Adjusted R</w:t>
            </w:r>
            <w:r w:rsidRPr="009E1CED">
              <w:rPr>
                <w:rFonts w:ascii="Arial" w:hAnsi="Arial"/>
                <w:sz w:val="20"/>
                <w:szCs w:val="20"/>
                <w:vertAlign w:val="superscript"/>
                <w:lang w:eastAsia="en-NZ"/>
              </w:rPr>
              <w:t>2</w:t>
            </w:r>
          </w:p>
        </w:tc>
        <w:tc>
          <w:tcPr>
            <w:tcW w:w="0" w:type="auto"/>
            <w:tcBorders>
              <w:bottom w:val="single" w:sz="4" w:space="0" w:color="auto"/>
            </w:tcBorders>
            <w:shd w:val="clear" w:color="auto" w:fill="auto"/>
            <w:vAlign w:val="center"/>
          </w:tcPr>
          <w:p w14:paraId="24303DED" w14:textId="77777777" w:rsidR="003D0EB3" w:rsidRPr="009E1CED" w:rsidRDefault="003D0EB3" w:rsidP="00A313DF">
            <w:pPr>
              <w:spacing w:after="0"/>
              <w:jc w:val="center"/>
              <w:rPr>
                <w:rFonts w:ascii="Arial" w:hAnsi="Arial"/>
                <w:sz w:val="20"/>
                <w:szCs w:val="20"/>
                <w:lang w:eastAsia="en-NZ"/>
              </w:rPr>
            </w:pPr>
          </w:p>
        </w:tc>
        <w:tc>
          <w:tcPr>
            <w:tcW w:w="0" w:type="auto"/>
            <w:tcBorders>
              <w:bottom w:val="single" w:sz="4" w:space="0" w:color="auto"/>
            </w:tcBorders>
            <w:shd w:val="clear" w:color="auto" w:fill="auto"/>
            <w:vAlign w:val="center"/>
          </w:tcPr>
          <w:p w14:paraId="69C477CD"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42.41%</w:t>
            </w:r>
          </w:p>
        </w:tc>
        <w:tc>
          <w:tcPr>
            <w:tcW w:w="0" w:type="auto"/>
            <w:tcBorders>
              <w:bottom w:val="single" w:sz="4" w:space="0" w:color="auto"/>
            </w:tcBorders>
            <w:shd w:val="clear" w:color="auto" w:fill="auto"/>
            <w:vAlign w:val="center"/>
          </w:tcPr>
          <w:p w14:paraId="3134D0FC"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93.89%</w:t>
            </w:r>
          </w:p>
        </w:tc>
        <w:tc>
          <w:tcPr>
            <w:tcW w:w="0" w:type="auto"/>
            <w:tcBorders>
              <w:bottom w:val="single" w:sz="4" w:space="0" w:color="auto"/>
            </w:tcBorders>
            <w:shd w:val="clear" w:color="auto" w:fill="auto"/>
            <w:vAlign w:val="center"/>
          </w:tcPr>
          <w:p w14:paraId="52422166"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96.06%</w:t>
            </w:r>
          </w:p>
        </w:tc>
        <w:tc>
          <w:tcPr>
            <w:tcW w:w="0" w:type="auto"/>
            <w:tcBorders>
              <w:bottom w:val="single" w:sz="4" w:space="0" w:color="auto"/>
            </w:tcBorders>
            <w:vAlign w:val="center"/>
          </w:tcPr>
          <w:p w14:paraId="4E08155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76.82%</w:t>
            </w:r>
          </w:p>
        </w:tc>
        <w:tc>
          <w:tcPr>
            <w:tcW w:w="0" w:type="auto"/>
            <w:tcBorders>
              <w:bottom w:val="single" w:sz="4" w:space="0" w:color="auto"/>
            </w:tcBorders>
            <w:shd w:val="clear" w:color="auto" w:fill="auto"/>
            <w:vAlign w:val="center"/>
          </w:tcPr>
          <w:p w14:paraId="2727181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95.88%</w:t>
            </w:r>
          </w:p>
        </w:tc>
        <w:tc>
          <w:tcPr>
            <w:tcW w:w="0" w:type="auto"/>
            <w:tcBorders>
              <w:bottom w:val="single" w:sz="4" w:space="0" w:color="auto"/>
            </w:tcBorders>
            <w:shd w:val="clear" w:color="auto" w:fill="auto"/>
            <w:vAlign w:val="center"/>
          </w:tcPr>
          <w:p w14:paraId="21D45618"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94.98%</w:t>
            </w:r>
          </w:p>
        </w:tc>
      </w:tr>
    </w:tbl>
    <w:p w14:paraId="5A54DCA0" w14:textId="41C0F407" w:rsidR="003D0EB3" w:rsidRPr="009E1CED" w:rsidRDefault="003D0EB3" w:rsidP="003D0EB3">
      <w:pPr>
        <w:spacing w:after="0"/>
        <w:rPr>
          <w:rFonts w:ascii="Arial" w:eastAsia="Calibri" w:hAnsi="Arial" w:cs="Arial"/>
          <w:sz w:val="20"/>
          <w:szCs w:val="20"/>
          <w:lang w:val="en-US"/>
        </w:rPr>
      </w:pPr>
      <w:r w:rsidRPr="009E1CED">
        <w:rPr>
          <w:rFonts w:ascii="Arial" w:eastAsia="Calibri" w:hAnsi="Arial" w:cs="Arial"/>
          <w:sz w:val="20"/>
          <w:szCs w:val="20"/>
          <w:lang w:val="en-US"/>
        </w:rPr>
        <w:t>Note: residual moisture content (RMC).</w:t>
      </w:r>
    </w:p>
    <w:p w14:paraId="04A0CE34" w14:textId="1F3F0A56" w:rsidR="003D0EB3" w:rsidRPr="009E1CED" w:rsidRDefault="003D0EB3" w:rsidP="003D0EB3">
      <w:pPr>
        <w:spacing w:after="0"/>
        <w:rPr>
          <w:rFonts w:ascii="Arial" w:eastAsia="Calibri" w:hAnsi="Arial" w:cs="Arial"/>
          <w:sz w:val="20"/>
          <w:szCs w:val="20"/>
          <w:lang w:val="en-US"/>
        </w:rPr>
      </w:pPr>
      <w:r w:rsidRPr="009E1CED">
        <w:rPr>
          <w:rFonts w:ascii="Arial" w:eastAsia="Calibri" w:hAnsi="Arial" w:cs="Arial"/>
          <w:sz w:val="20"/>
          <w:szCs w:val="20"/>
          <w:lang w:val="en-US"/>
        </w:rPr>
        <w:t xml:space="preserve">* Statistically significant at the 95% confidence level; </w:t>
      </w:r>
      <w:r w:rsidRPr="009E1CED">
        <w:rPr>
          <w:rFonts w:ascii="Arial" w:eastAsia="Calibri" w:hAnsi="Arial" w:cs="Arial"/>
          <w:sz w:val="20"/>
          <w:szCs w:val="20"/>
          <w:vertAlign w:val="superscript"/>
          <w:lang w:val="en-US"/>
        </w:rPr>
        <w:t xml:space="preserve">a </w:t>
      </w:r>
      <w:r w:rsidRPr="009E1CED">
        <w:rPr>
          <w:rFonts w:ascii="Arial" w:eastAsia="Calibri" w:hAnsi="Arial" w:cs="Arial"/>
          <w:sz w:val="20"/>
          <w:szCs w:val="20"/>
          <w:lang w:val="en-US"/>
        </w:rPr>
        <w:t xml:space="preserve">Reference value for good model &lt; 0.05; </w:t>
      </w:r>
      <w:r w:rsidRPr="009E1CED">
        <w:rPr>
          <w:rFonts w:ascii="Arial" w:eastAsia="Calibri" w:hAnsi="Arial" w:cs="Arial"/>
          <w:sz w:val="20"/>
          <w:szCs w:val="20"/>
          <w:vertAlign w:val="superscript"/>
          <w:lang w:val="en-US"/>
        </w:rPr>
        <w:t xml:space="preserve">b </w:t>
      </w:r>
      <w:r w:rsidRPr="009E1CED">
        <w:rPr>
          <w:rFonts w:ascii="Arial" w:eastAsia="Calibri" w:hAnsi="Arial" w:cs="Arial"/>
          <w:sz w:val="20"/>
          <w:szCs w:val="20"/>
          <w:lang w:val="en-US"/>
        </w:rPr>
        <w:t xml:space="preserve">Reference value for good model &gt; 0.05. </w:t>
      </w:r>
    </w:p>
    <w:p w14:paraId="28135FD5" w14:textId="634561CB" w:rsidR="003D0EB3" w:rsidRPr="009E1CED" w:rsidRDefault="003D0EB3" w:rsidP="003D0EB3">
      <w:pPr>
        <w:rPr>
          <w:rFonts w:ascii="Arial" w:eastAsia="Calibri" w:hAnsi="Arial" w:cs="Arial"/>
          <w:b/>
          <w:bCs/>
          <w:noProof/>
          <w:sz w:val="20"/>
          <w:szCs w:val="20"/>
          <w:lang w:val="en-US"/>
        </w:rPr>
      </w:pPr>
      <w:r w:rsidRPr="009E1CED">
        <w:rPr>
          <w:rFonts w:ascii="Arial" w:eastAsia="Calibri" w:hAnsi="Arial" w:cs="Arial"/>
          <w:sz w:val="20"/>
          <w:szCs w:val="20"/>
          <w:lang w:val="en-US"/>
        </w:rPr>
        <w:t>A blue par present a term with positive effect; a red par present a term with negative effect; a gray par present a term not in the model; the vertical line defines the 95 percent confidence interval.</w:t>
      </w:r>
    </w:p>
    <w:p w14:paraId="0A503809" w14:textId="77C5832E" w:rsidR="003D0EB3" w:rsidRPr="009E1CED" w:rsidRDefault="00D14792" w:rsidP="003D0EB3">
      <w:pPr>
        <w:spacing w:after="200"/>
        <w:ind w:firstLine="720"/>
        <w:rPr>
          <w:rFonts w:ascii="Arial" w:hAnsi="Arial" w:cs="Arial"/>
          <w:kern w:val="24"/>
          <w:sz w:val="20"/>
          <w:szCs w:val="20"/>
          <w:lang w:val="en-US" w:eastAsia="ja-JP"/>
        </w:rPr>
      </w:pPr>
      <w:bookmarkStart w:id="1" w:name="_Toc104204498"/>
      <w:bookmarkStart w:id="2" w:name="_Toc104204875"/>
      <w:bookmarkStart w:id="3" w:name="_Toc104273774"/>
      <w:r w:rsidRPr="009E1CED">
        <w:rPr>
          <w:rFonts w:ascii="Arial" w:eastAsia="Calibri" w:hAnsi="Arial" w:cs="Arial"/>
          <w:noProof/>
          <w:kern w:val="2"/>
          <w:sz w:val="20"/>
          <w:szCs w:val="20"/>
          <w:lang w:val="en-IE"/>
          <w14:ligatures w14:val="standardContextual"/>
        </w:rPr>
        <w:drawing>
          <wp:anchor distT="0" distB="0" distL="114300" distR="114300" simplePos="0" relativeHeight="251665408" behindDoc="0" locked="0" layoutInCell="1" allowOverlap="1" wp14:anchorId="1CD20044" wp14:editId="5A01BCC2">
            <wp:simplePos x="0" y="0"/>
            <wp:positionH relativeFrom="margin">
              <wp:posOffset>1742440</wp:posOffset>
            </wp:positionH>
            <wp:positionV relativeFrom="paragraph">
              <wp:posOffset>166370</wp:posOffset>
            </wp:positionV>
            <wp:extent cx="2571750" cy="3112135"/>
            <wp:effectExtent l="0" t="0" r="6350" b="0"/>
            <wp:wrapTopAndBottom/>
            <wp:docPr id="1514765009" name="Picture 3"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65009" name="Picture 3" descr="A picture containing text, screenshot, diagram, parall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3112135"/>
                    </a:xfrm>
                    <a:prstGeom prst="rect">
                      <a:avLst/>
                    </a:prstGeom>
                  </pic:spPr>
                </pic:pic>
              </a:graphicData>
            </a:graphic>
            <wp14:sizeRelH relativeFrom="margin">
              <wp14:pctWidth>0</wp14:pctWidth>
            </wp14:sizeRelH>
            <wp14:sizeRelV relativeFrom="margin">
              <wp14:pctHeight>0</wp14:pctHeight>
            </wp14:sizeRelV>
          </wp:anchor>
        </w:drawing>
      </w:r>
      <w:r w:rsidR="003D0EB3" w:rsidRPr="009E1CED">
        <w:rPr>
          <w:rFonts w:ascii="Arial" w:hAnsi="Arial" w:cs="Arial"/>
          <w:b/>
          <w:bCs/>
          <w:kern w:val="24"/>
          <w:sz w:val="20"/>
          <w:szCs w:val="20"/>
          <w:lang w:val="en-US" w:eastAsia="ja-JP"/>
        </w:rPr>
        <w:t>Figure 1.</w:t>
      </w:r>
      <w:r w:rsidR="003D0EB3" w:rsidRPr="009E1CED">
        <w:rPr>
          <w:rFonts w:ascii="Arial" w:hAnsi="Arial" w:cs="Arial"/>
          <w:kern w:val="24"/>
          <w:sz w:val="20"/>
          <w:szCs w:val="20"/>
          <w:lang w:val="en-US" w:eastAsia="ja-JP"/>
        </w:rPr>
        <w:t xml:space="preserve"> Pareto chart of the standardized effects. Factor abbreviations: A:Solute concentration (%w/v); B:Solution flow rate (%); C: Atomizing air nozzle flow rate (l/min); D:Inlet temperature (°C)</w:t>
      </w:r>
      <w:bookmarkEnd w:id="1"/>
      <w:bookmarkEnd w:id="2"/>
      <w:bookmarkEnd w:id="3"/>
      <w:r w:rsidR="003D0EB3" w:rsidRPr="009E1CED">
        <w:rPr>
          <w:rFonts w:ascii="Arial" w:hAnsi="Arial" w:cs="Arial"/>
          <w:kern w:val="24"/>
          <w:sz w:val="20"/>
          <w:szCs w:val="20"/>
          <w:lang w:val="en-US" w:eastAsia="ja-JP"/>
        </w:rPr>
        <w:t>.</w:t>
      </w:r>
    </w:p>
    <w:p w14:paraId="428279F3"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lastRenderedPageBreak/>
        <w:t>The processing parameters that combined a high solute concentration, high solution flow rate, low atomizing air flow and low inlet temperature produced powder with acceptable QTPP, i.e. D</w:t>
      </w:r>
      <w:r w:rsidRPr="009E1CED">
        <w:rPr>
          <w:rFonts w:ascii="Arial" w:eastAsia="Calibri" w:hAnsi="Arial" w:cs="Arial"/>
          <w:kern w:val="2"/>
          <w:sz w:val="20"/>
          <w:szCs w:val="20"/>
          <w:vertAlign w:val="subscript"/>
          <w:lang w:val="en-IE"/>
          <w14:ligatures w14:val="standardContextual"/>
        </w:rPr>
        <w:t>(v,50)</w:t>
      </w:r>
      <w:r w:rsidRPr="009E1CED">
        <w:rPr>
          <w:rFonts w:ascii="Arial" w:eastAsia="Calibri" w:hAnsi="Arial" w:cs="Arial"/>
          <w:kern w:val="2"/>
          <w:sz w:val="20"/>
          <w:szCs w:val="20"/>
          <w:lang w:val="en-IE"/>
          <w14:ligatures w14:val="standardContextual"/>
        </w:rPr>
        <w:t xml:space="preserve"> = 2.93 μm, yield = 71.30 % and RMC = 3.4%. However, this formulation has high D</w:t>
      </w:r>
      <w:r w:rsidRPr="009E1CED">
        <w:rPr>
          <w:rFonts w:ascii="Arial" w:eastAsia="Calibri" w:hAnsi="Arial" w:cs="Arial"/>
          <w:kern w:val="2"/>
          <w:sz w:val="20"/>
          <w:szCs w:val="20"/>
          <w:vertAlign w:val="subscript"/>
          <w:lang w:val="en-IE"/>
          <w14:ligatures w14:val="standardContextual"/>
        </w:rPr>
        <w:t>(v,90)</w:t>
      </w:r>
      <w:r w:rsidRPr="009E1CED">
        <w:rPr>
          <w:rFonts w:ascii="Arial" w:eastAsia="Calibri" w:hAnsi="Arial" w:cs="Arial"/>
          <w:kern w:val="2"/>
          <w:sz w:val="20"/>
          <w:szCs w:val="20"/>
          <w:lang w:val="en-IE"/>
          <w14:ligatures w14:val="standardContextual"/>
        </w:rPr>
        <w:t xml:space="preserve"> and span values of 8.01 μm and 2.5, respectively, which means that a large portion of the powder would deposit in the throat upon inhalation rather than reaching the deep lung.</w:t>
      </w:r>
    </w:p>
    <w:p w14:paraId="228D4076"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b/>
          <w:bCs/>
          <w:noProof/>
          <w:sz w:val="20"/>
          <w:szCs w:val="20"/>
          <w:lang w:val="en-US" w:eastAsia="ja-JP"/>
          <w14:ligatures w14:val="standardContextual"/>
        </w:rPr>
        <w:drawing>
          <wp:anchor distT="0" distB="0" distL="114300" distR="114300" simplePos="0" relativeHeight="251664384" behindDoc="0" locked="0" layoutInCell="1" allowOverlap="1" wp14:anchorId="067A03B8" wp14:editId="4B1FE9AC">
            <wp:simplePos x="0" y="0"/>
            <wp:positionH relativeFrom="page">
              <wp:posOffset>1041400</wp:posOffset>
            </wp:positionH>
            <wp:positionV relativeFrom="paragraph">
              <wp:posOffset>379730</wp:posOffset>
            </wp:positionV>
            <wp:extent cx="3115310" cy="2074545"/>
            <wp:effectExtent l="0" t="0" r="0" b="0"/>
            <wp:wrapTopAndBottom/>
            <wp:docPr id="2024849810" name="Picture 2"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49810" name="Picture 2" descr="A picture containing text, line, diagram, pl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5310" cy="2074545"/>
                    </a:xfrm>
                    <a:prstGeom prst="rect">
                      <a:avLst/>
                    </a:prstGeom>
                  </pic:spPr>
                </pic:pic>
              </a:graphicData>
            </a:graphic>
            <wp14:sizeRelH relativeFrom="margin">
              <wp14:pctWidth>0</wp14:pctWidth>
            </wp14:sizeRelH>
            <wp14:sizeRelV relativeFrom="margin">
              <wp14:pctHeight>0</wp14:pctHeight>
            </wp14:sizeRelV>
          </wp:anchor>
        </w:drawing>
      </w:r>
      <w:r w:rsidRPr="009E1CED">
        <w:rPr>
          <w:rFonts w:ascii="Arial" w:eastAsia="Calibri" w:hAnsi="Arial" w:cs="Arial"/>
          <w:kern w:val="2"/>
          <w:sz w:val="20"/>
          <w:szCs w:val="20"/>
          <w:lang w:val="en-IE"/>
          <w14:ligatures w14:val="standardContextual"/>
        </w:rPr>
        <w:t xml:space="preserve">The PCA shows that 72% of the variation in the data set was described by the first two principle components, 53% by PC1 and 19% by PC2. Figure 2 presents the loading plot of PC1 and PC2.  </w:t>
      </w:r>
    </w:p>
    <w:p w14:paraId="1FEEB8E6" w14:textId="77777777" w:rsidR="003D0EB3" w:rsidRPr="009E1CED" w:rsidRDefault="003D0EB3" w:rsidP="003D0EB3">
      <w:pPr>
        <w:spacing w:after="0"/>
        <w:ind w:firstLine="720"/>
        <w:rPr>
          <w:rFonts w:ascii="Arial" w:eastAsia="Calibri" w:hAnsi="Arial" w:cs="Arial"/>
          <w:sz w:val="20"/>
          <w:szCs w:val="20"/>
          <w:lang w:val="en-US" w:eastAsia="ja-JP"/>
        </w:rPr>
      </w:pPr>
      <w:r w:rsidRPr="009E1CED">
        <w:rPr>
          <w:rFonts w:ascii="Arial" w:eastAsia="Calibri" w:hAnsi="Arial" w:cs="Arial"/>
          <w:b/>
          <w:bCs/>
          <w:sz w:val="20"/>
          <w:szCs w:val="20"/>
          <w:lang w:val="en-US" w:eastAsia="ja-JP"/>
        </w:rPr>
        <w:t>Figure 2.</w:t>
      </w:r>
      <w:r w:rsidRPr="009E1CED">
        <w:rPr>
          <w:rFonts w:ascii="Arial" w:eastAsia="Calibri" w:hAnsi="Arial" w:cs="Arial"/>
          <w:sz w:val="20"/>
          <w:szCs w:val="20"/>
          <w:lang w:val="en-US" w:eastAsia="ja-JP"/>
        </w:rPr>
        <w:t xml:space="preserve"> Loading plot of PC1 and PC2. </w:t>
      </w:r>
    </w:p>
    <w:p w14:paraId="243814B7" w14:textId="77777777" w:rsidR="003D0EB3" w:rsidRPr="009E1CED" w:rsidRDefault="003D0EB3" w:rsidP="003D0EB3">
      <w:pPr>
        <w:rPr>
          <w:rFonts w:ascii="Arial" w:eastAsia="Calibri" w:hAnsi="Arial" w:cs="Arial"/>
          <w:kern w:val="2"/>
          <w:sz w:val="20"/>
          <w:szCs w:val="20"/>
          <w:lang w:val="en-IE"/>
          <w14:ligatures w14:val="standardContextual"/>
        </w:rPr>
      </w:pPr>
    </w:p>
    <w:p w14:paraId="167F7D0F"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t>Figure 1 and 2 shows that both D</w:t>
      </w:r>
      <w:r w:rsidRPr="009E1CED">
        <w:rPr>
          <w:rFonts w:ascii="Arial" w:eastAsia="Calibri" w:hAnsi="Arial" w:cs="Arial"/>
          <w:kern w:val="2"/>
          <w:sz w:val="20"/>
          <w:szCs w:val="20"/>
          <w:vertAlign w:val="subscript"/>
          <w:lang w:val="en-IE"/>
          <w14:ligatures w14:val="standardContextual"/>
        </w:rPr>
        <w:t>(v,90)</w:t>
      </w:r>
      <w:r w:rsidRPr="009E1CED">
        <w:rPr>
          <w:rFonts w:ascii="Arial" w:eastAsia="Calibri" w:hAnsi="Arial" w:cs="Arial"/>
          <w:kern w:val="2"/>
          <w:sz w:val="20"/>
          <w:szCs w:val="20"/>
          <w:lang w:val="en-IE"/>
          <w14:ligatures w14:val="standardContextual"/>
        </w:rPr>
        <w:t xml:space="preserve"> and span are influenced by atomizing air flow rate while D</w:t>
      </w:r>
      <w:r w:rsidRPr="009E1CED">
        <w:rPr>
          <w:rFonts w:ascii="Arial" w:eastAsia="Calibri" w:hAnsi="Arial" w:cs="Arial"/>
          <w:kern w:val="2"/>
          <w:sz w:val="20"/>
          <w:szCs w:val="20"/>
          <w:vertAlign w:val="subscript"/>
          <w:lang w:val="en-IE"/>
          <w14:ligatures w14:val="standardContextual"/>
        </w:rPr>
        <w:t>(v,50)</w:t>
      </w:r>
      <w:r w:rsidRPr="009E1CED">
        <w:rPr>
          <w:rFonts w:ascii="Arial" w:eastAsia="Calibri" w:hAnsi="Arial" w:cs="Arial"/>
          <w:kern w:val="2"/>
          <w:sz w:val="20"/>
          <w:szCs w:val="20"/>
          <w:lang w:val="en-IE"/>
          <w14:ligatures w14:val="standardContextual"/>
        </w:rPr>
        <w:t>, yield and RMC are less impacted by atomizing air flow. Thus atomizing air flow rate was adjusted, while holding all other parameters at their previous values, to optimise D</w:t>
      </w:r>
      <w:r w:rsidRPr="009E1CED">
        <w:rPr>
          <w:rFonts w:ascii="Arial" w:eastAsia="Calibri" w:hAnsi="Arial" w:cs="Arial"/>
          <w:kern w:val="2"/>
          <w:sz w:val="20"/>
          <w:szCs w:val="20"/>
          <w:vertAlign w:val="subscript"/>
          <w:lang w:val="en-IE"/>
          <w14:ligatures w14:val="standardContextual"/>
        </w:rPr>
        <w:t>(v,90)</w:t>
      </w:r>
      <w:r w:rsidRPr="009E1CED">
        <w:rPr>
          <w:rFonts w:ascii="Arial" w:eastAsia="Calibri" w:hAnsi="Arial" w:cs="Arial"/>
          <w:kern w:val="2"/>
          <w:sz w:val="20"/>
          <w:szCs w:val="20"/>
          <w:lang w:val="en-IE"/>
          <w14:ligatures w14:val="standardContextual"/>
        </w:rPr>
        <w:t xml:space="preserve"> and span. The formulation was optimised using a desirability function. The optimised particles were prepared at atomizing air flow rate of 8.5 L/min and characterized with a D</w:t>
      </w:r>
      <w:r w:rsidRPr="009E1CED">
        <w:rPr>
          <w:rFonts w:ascii="Arial" w:eastAsia="Calibri" w:hAnsi="Arial" w:cs="Arial"/>
          <w:kern w:val="2"/>
          <w:sz w:val="20"/>
          <w:szCs w:val="20"/>
          <w:vertAlign w:val="subscript"/>
          <w:lang w:val="en-IE"/>
          <w14:ligatures w14:val="standardContextual"/>
        </w:rPr>
        <w:t>(v,90)</w:t>
      </w:r>
      <w:r w:rsidRPr="009E1CED">
        <w:rPr>
          <w:rFonts w:ascii="Arial" w:eastAsia="Calibri" w:hAnsi="Arial" w:cs="Arial"/>
          <w:kern w:val="2"/>
          <w:sz w:val="20"/>
          <w:szCs w:val="20"/>
          <w:lang w:val="en-IE"/>
          <w14:ligatures w14:val="standardContextual"/>
        </w:rPr>
        <w:t xml:space="preserve"> of 5.30 ± 0.23 µm and a span of 1.81 ± 0.05 (Table 2). </w:t>
      </w:r>
    </w:p>
    <w:p w14:paraId="33ED745A" w14:textId="77777777" w:rsidR="003D0EB3" w:rsidRPr="009E1CED" w:rsidRDefault="003D0EB3" w:rsidP="003D0EB3">
      <w:pPr>
        <w:rPr>
          <w:rFonts w:ascii="Arial" w:eastAsia="Calibri" w:hAnsi="Arial" w:cs="Arial"/>
          <w:kern w:val="2"/>
          <w:sz w:val="20"/>
          <w:szCs w:val="20"/>
          <w:lang w:val="en-IE"/>
          <w14:ligatures w14:val="standardContextual"/>
        </w:rPr>
      </w:pPr>
    </w:p>
    <w:p w14:paraId="37957A9C" w14:textId="77777777" w:rsidR="003D0EB3" w:rsidRPr="009E1CED" w:rsidRDefault="003D0EB3" w:rsidP="003D0EB3">
      <w:pPr>
        <w:spacing w:after="0"/>
        <w:ind w:firstLine="720"/>
        <w:rPr>
          <w:rFonts w:ascii="Arial" w:eastAsia="Calibri" w:hAnsi="Arial" w:cs="Arial"/>
          <w:sz w:val="20"/>
          <w:szCs w:val="20"/>
        </w:rPr>
      </w:pPr>
      <w:r w:rsidRPr="009E1CED">
        <w:rPr>
          <w:rFonts w:ascii="Arial" w:eastAsia="Calibri" w:hAnsi="Arial" w:cs="Arial"/>
          <w:b/>
          <w:bCs/>
          <w:sz w:val="20"/>
          <w:szCs w:val="20"/>
        </w:rPr>
        <w:t>Table 2.</w:t>
      </w:r>
      <w:r w:rsidRPr="009E1CED">
        <w:rPr>
          <w:rFonts w:ascii="Arial" w:eastAsia="Calibri" w:hAnsi="Arial" w:cs="Arial"/>
          <w:sz w:val="20"/>
          <w:szCs w:val="20"/>
        </w:rPr>
        <w:t xml:space="preserve"> Comparison between actual and predicted values of dependent variables under desirability function. Predictions are expressed as mean </w:t>
      </w:r>
      <w:r w:rsidRPr="009E1CED">
        <w:rPr>
          <w:rFonts w:ascii="Arial" w:eastAsia="Calibri" w:hAnsi="Arial" w:cs="Arial"/>
          <w:sz w:val="20"/>
          <w:szCs w:val="20"/>
          <w:lang w:val="en-US"/>
        </w:rPr>
        <w:t>±</w:t>
      </w:r>
      <w:r w:rsidRPr="009E1CED">
        <w:rPr>
          <w:rFonts w:ascii="Arial" w:eastAsia="Calibri" w:hAnsi="Arial" w:cs="Arial"/>
          <w:sz w:val="20"/>
          <w:szCs w:val="20"/>
        </w:rPr>
        <w:t xml:space="preserve"> 95% confidence intervals. </w:t>
      </w:r>
    </w:p>
    <w:tbl>
      <w:tblPr>
        <w:tblStyle w:val="TableGrid1"/>
        <w:tblpPr w:leftFromText="181" w:rightFromText="181" w:vertAnchor="text" w:horzAnchor="margin" w:tblpXSpec="center" w:tblpY="117"/>
        <w:tblOverlap w:val="never"/>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1398"/>
        <w:gridCol w:w="1399"/>
        <w:gridCol w:w="1399"/>
        <w:gridCol w:w="1399"/>
        <w:gridCol w:w="1399"/>
      </w:tblGrid>
      <w:tr w:rsidR="003D0EB3" w:rsidRPr="009E1CED" w14:paraId="17D4DD4F" w14:textId="77777777" w:rsidTr="00A313DF">
        <w:trPr>
          <w:trHeight w:val="338"/>
        </w:trPr>
        <w:tc>
          <w:tcPr>
            <w:tcW w:w="0" w:type="auto"/>
            <w:tcBorders>
              <w:top w:val="single" w:sz="4" w:space="0" w:color="auto"/>
              <w:bottom w:val="single" w:sz="4" w:space="0" w:color="auto"/>
            </w:tcBorders>
            <w:vAlign w:val="center"/>
          </w:tcPr>
          <w:p w14:paraId="7C8D8B4F"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Output parameters</w:t>
            </w:r>
          </w:p>
        </w:tc>
        <w:tc>
          <w:tcPr>
            <w:tcW w:w="1398" w:type="dxa"/>
            <w:tcBorders>
              <w:top w:val="single" w:sz="4" w:space="0" w:color="auto"/>
              <w:bottom w:val="single" w:sz="4" w:space="0" w:color="auto"/>
            </w:tcBorders>
            <w:vAlign w:val="center"/>
          </w:tcPr>
          <w:p w14:paraId="5D265154"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Predicted</w:t>
            </w:r>
          </w:p>
        </w:tc>
        <w:tc>
          <w:tcPr>
            <w:tcW w:w="1399" w:type="dxa"/>
            <w:tcBorders>
              <w:top w:val="single" w:sz="4" w:space="0" w:color="auto"/>
              <w:bottom w:val="single" w:sz="4" w:space="0" w:color="auto"/>
            </w:tcBorders>
            <w:vAlign w:val="center"/>
          </w:tcPr>
          <w:p w14:paraId="220AF8A1"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Predicted lower range</w:t>
            </w:r>
          </w:p>
        </w:tc>
        <w:tc>
          <w:tcPr>
            <w:tcW w:w="1399" w:type="dxa"/>
            <w:tcBorders>
              <w:top w:val="single" w:sz="4" w:space="0" w:color="auto"/>
              <w:bottom w:val="single" w:sz="4" w:space="0" w:color="auto"/>
            </w:tcBorders>
            <w:vAlign w:val="center"/>
          </w:tcPr>
          <w:p w14:paraId="19F10EA9"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Predicted upper range</w:t>
            </w:r>
          </w:p>
        </w:tc>
        <w:tc>
          <w:tcPr>
            <w:tcW w:w="1399" w:type="dxa"/>
            <w:tcBorders>
              <w:top w:val="single" w:sz="4" w:space="0" w:color="auto"/>
              <w:bottom w:val="single" w:sz="4" w:space="0" w:color="auto"/>
              <w:right w:val="single" w:sz="4" w:space="0" w:color="auto"/>
            </w:tcBorders>
            <w:vAlign w:val="center"/>
          </w:tcPr>
          <w:p w14:paraId="4FCC1886"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Actual</w:t>
            </w:r>
          </w:p>
        </w:tc>
        <w:tc>
          <w:tcPr>
            <w:tcW w:w="1399" w:type="dxa"/>
            <w:tcBorders>
              <w:top w:val="single" w:sz="4" w:space="0" w:color="auto"/>
              <w:left w:val="single" w:sz="4" w:space="0" w:color="auto"/>
              <w:bottom w:val="single" w:sz="4" w:space="0" w:color="auto"/>
            </w:tcBorders>
            <w:vAlign w:val="center"/>
          </w:tcPr>
          <w:p w14:paraId="63D5B02F"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 xml:space="preserve">*F of acceptable </w:t>
            </w:r>
            <w:r w:rsidRPr="009E1CED">
              <w:rPr>
                <w:rFonts w:ascii="Arial" w:hAnsi="Arial"/>
                <w:b/>
                <w:sz w:val="20"/>
                <w:szCs w:val="20"/>
              </w:rPr>
              <w:t xml:space="preserve"> </w:t>
            </w:r>
            <w:r w:rsidRPr="009E1CED">
              <w:rPr>
                <w:rFonts w:ascii="Arial" w:hAnsi="Arial"/>
                <w:b/>
                <w:sz w:val="20"/>
                <w:szCs w:val="20"/>
                <w:lang w:eastAsia="en-NZ"/>
              </w:rPr>
              <w:t xml:space="preserve">QTPP   </w:t>
            </w:r>
          </w:p>
        </w:tc>
      </w:tr>
      <w:tr w:rsidR="003D0EB3" w:rsidRPr="009E1CED" w14:paraId="303BEBE1" w14:textId="77777777" w:rsidTr="00A313DF">
        <w:trPr>
          <w:trHeight w:val="159"/>
        </w:trPr>
        <w:tc>
          <w:tcPr>
            <w:tcW w:w="0" w:type="auto"/>
            <w:tcBorders>
              <w:top w:val="single" w:sz="4" w:space="0" w:color="auto"/>
            </w:tcBorders>
            <w:shd w:val="clear" w:color="auto" w:fill="FFFFFF"/>
            <w:vAlign w:val="center"/>
          </w:tcPr>
          <w:p w14:paraId="5C3AD832"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D</w:t>
            </w:r>
            <w:r w:rsidRPr="009E1CED">
              <w:rPr>
                <w:rFonts w:ascii="Arial" w:hAnsi="Arial"/>
                <w:b/>
                <w:sz w:val="20"/>
                <w:szCs w:val="20"/>
                <w:vertAlign w:val="subscript"/>
                <w:lang w:eastAsia="en-NZ"/>
              </w:rPr>
              <w:t xml:space="preserve">(v,10) </w:t>
            </w:r>
            <w:r w:rsidRPr="009E1CED">
              <w:rPr>
                <w:rFonts w:ascii="Arial" w:hAnsi="Arial"/>
                <w:b/>
                <w:sz w:val="20"/>
                <w:szCs w:val="20"/>
                <w:lang w:eastAsia="en-NZ"/>
              </w:rPr>
              <w:t>(µm)</w:t>
            </w:r>
          </w:p>
        </w:tc>
        <w:tc>
          <w:tcPr>
            <w:tcW w:w="1398" w:type="dxa"/>
            <w:tcBorders>
              <w:top w:val="single" w:sz="4" w:space="0" w:color="auto"/>
            </w:tcBorders>
            <w:shd w:val="clear" w:color="auto" w:fill="FFFFFF"/>
            <w:vAlign w:val="center"/>
          </w:tcPr>
          <w:p w14:paraId="5884CE5A" w14:textId="77777777" w:rsidR="003D0EB3" w:rsidRPr="009E1CED" w:rsidRDefault="003D0EB3" w:rsidP="00A313DF">
            <w:pPr>
              <w:spacing w:after="0"/>
              <w:jc w:val="center"/>
              <w:rPr>
                <w:rFonts w:ascii="Arial" w:hAnsi="Arial"/>
                <w:bCs/>
                <w:sz w:val="20"/>
                <w:szCs w:val="20"/>
                <w:lang w:eastAsia="en-NZ"/>
              </w:rPr>
            </w:pPr>
            <w:r w:rsidRPr="009E1CED">
              <w:rPr>
                <w:rFonts w:ascii="Arial" w:hAnsi="Arial"/>
                <w:sz w:val="20"/>
                <w:szCs w:val="20"/>
                <w:lang w:eastAsia="en-NZ"/>
              </w:rPr>
              <w:t>0.758</w:t>
            </w:r>
          </w:p>
        </w:tc>
        <w:tc>
          <w:tcPr>
            <w:tcW w:w="1399" w:type="dxa"/>
            <w:tcBorders>
              <w:top w:val="single" w:sz="4" w:space="0" w:color="auto"/>
            </w:tcBorders>
            <w:shd w:val="clear" w:color="auto" w:fill="FFFFFF"/>
            <w:vAlign w:val="center"/>
          </w:tcPr>
          <w:p w14:paraId="79ED4AE1" w14:textId="77777777" w:rsidR="003D0EB3" w:rsidRPr="009E1CED" w:rsidRDefault="003D0EB3" w:rsidP="00A313DF">
            <w:pPr>
              <w:spacing w:after="0"/>
              <w:jc w:val="center"/>
              <w:rPr>
                <w:rFonts w:ascii="Arial" w:hAnsi="Arial"/>
                <w:bCs/>
                <w:sz w:val="20"/>
                <w:szCs w:val="20"/>
                <w:lang w:eastAsia="en-NZ"/>
              </w:rPr>
            </w:pPr>
            <w:r w:rsidRPr="009E1CED">
              <w:rPr>
                <w:rFonts w:ascii="Arial" w:hAnsi="Arial"/>
                <w:color w:val="2E2E2E"/>
                <w:sz w:val="20"/>
                <w:szCs w:val="20"/>
                <w:lang w:eastAsia="en-NZ"/>
              </w:rPr>
              <w:t>0.283</w:t>
            </w:r>
          </w:p>
        </w:tc>
        <w:tc>
          <w:tcPr>
            <w:tcW w:w="1399" w:type="dxa"/>
            <w:tcBorders>
              <w:top w:val="single" w:sz="4" w:space="0" w:color="auto"/>
            </w:tcBorders>
            <w:shd w:val="clear" w:color="auto" w:fill="FFFFFF"/>
            <w:vAlign w:val="center"/>
          </w:tcPr>
          <w:p w14:paraId="1F5E8111" w14:textId="77777777" w:rsidR="003D0EB3" w:rsidRPr="009E1CED" w:rsidRDefault="003D0EB3" w:rsidP="00A313DF">
            <w:pPr>
              <w:spacing w:after="0"/>
              <w:jc w:val="center"/>
              <w:rPr>
                <w:rFonts w:ascii="Arial" w:hAnsi="Arial"/>
                <w:bCs/>
                <w:sz w:val="20"/>
                <w:szCs w:val="20"/>
                <w:lang w:eastAsia="en-NZ"/>
              </w:rPr>
            </w:pPr>
            <w:r w:rsidRPr="009E1CED">
              <w:rPr>
                <w:rFonts w:ascii="Arial" w:hAnsi="Arial"/>
                <w:color w:val="2E2E2E"/>
                <w:sz w:val="20"/>
                <w:szCs w:val="20"/>
                <w:lang w:eastAsia="en-NZ"/>
              </w:rPr>
              <w:t>1.232</w:t>
            </w:r>
          </w:p>
        </w:tc>
        <w:tc>
          <w:tcPr>
            <w:tcW w:w="1399" w:type="dxa"/>
            <w:tcBorders>
              <w:top w:val="single" w:sz="4" w:space="0" w:color="auto"/>
              <w:right w:val="single" w:sz="4" w:space="0" w:color="auto"/>
            </w:tcBorders>
            <w:vAlign w:val="center"/>
          </w:tcPr>
          <w:p w14:paraId="078A2F3D" w14:textId="77777777" w:rsidR="003D0EB3" w:rsidRPr="009E1CED" w:rsidRDefault="003D0EB3" w:rsidP="00A313DF">
            <w:pPr>
              <w:spacing w:after="0"/>
              <w:jc w:val="center"/>
              <w:rPr>
                <w:rFonts w:ascii="Arial" w:hAnsi="Arial"/>
                <w:bCs/>
                <w:sz w:val="20"/>
                <w:szCs w:val="20"/>
                <w:lang w:eastAsia="en-NZ"/>
              </w:rPr>
            </w:pPr>
            <w:r w:rsidRPr="009E1CED">
              <w:rPr>
                <w:rFonts w:ascii="Arial" w:hAnsi="Arial"/>
                <w:sz w:val="20"/>
                <w:szCs w:val="20"/>
                <w:lang w:eastAsia="en-NZ"/>
              </w:rPr>
              <w:t>0.92 ± 0.04</w:t>
            </w:r>
          </w:p>
        </w:tc>
        <w:tc>
          <w:tcPr>
            <w:tcW w:w="1399" w:type="dxa"/>
            <w:tcBorders>
              <w:top w:val="single" w:sz="4" w:space="0" w:color="auto"/>
              <w:left w:val="single" w:sz="4" w:space="0" w:color="auto"/>
            </w:tcBorders>
            <w:shd w:val="clear" w:color="auto" w:fill="FFFFFF"/>
            <w:vAlign w:val="center"/>
          </w:tcPr>
          <w:p w14:paraId="5B42E44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0.87±0.03</w:t>
            </w:r>
          </w:p>
        </w:tc>
      </w:tr>
      <w:tr w:rsidR="003D0EB3" w:rsidRPr="009E1CED" w14:paraId="01EC9020" w14:textId="77777777" w:rsidTr="00A313DF">
        <w:trPr>
          <w:trHeight w:val="258"/>
        </w:trPr>
        <w:tc>
          <w:tcPr>
            <w:tcW w:w="0" w:type="auto"/>
            <w:shd w:val="clear" w:color="auto" w:fill="FFFFFF"/>
            <w:vAlign w:val="center"/>
          </w:tcPr>
          <w:p w14:paraId="05D4F527" w14:textId="77777777" w:rsidR="003D0EB3" w:rsidRPr="009E1CED" w:rsidRDefault="003D0EB3" w:rsidP="00A313DF">
            <w:pPr>
              <w:spacing w:after="0"/>
              <w:jc w:val="center"/>
              <w:rPr>
                <w:rFonts w:ascii="Arial" w:hAnsi="Arial"/>
                <w:b/>
                <w:sz w:val="20"/>
                <w:szCs w:val="20"/>
                <w:lang w:eastAsia="en-NZ"/>
              </w:rPr>
            </w:pPr>
            <w:bookmarkStart w:id="4" w:name="_Hlk135991319"/>
            <w:r w:rsidRPr="009E1CED">
              <w:rPr>
                <w:rFonts w:ascii="Arial" w:hAnsi="Arial"/>
                <w:b/>
                <w:sz w:val="20"/>
                <w:szCs w:val="20"/>
                <w:lang w:eastAsia="en-NZ"/>
              </w:rPr>
              <w:t>D</w:t>
            </w:r>
            <w:r w:rsidRPr="009E1CED">
              <w:rPr>
                <w:rFonts w:ascii="Arial" w:hAnsi="Arial"/>
                <w:b/>
                <w:sz w:val="20"/>
                <w:szCs w:val="20"/>
                <w:vertAlign w:val="subscript"/>
                <w:lang w:eastAsia="en-NZ"/>
              </w:rPr>
              <w:t xml:space="preserve">(v,50) </w:t>
            </w:r>
            <w:bookmarkEnd w:id="4"/>
            <w:r w:rsidRPr="009E1CED">
              <w:rPr>
                <w:rFonts w:ascii="Arial" w:hAnsi="Arial"/>
                <w:b/>
                <w:sz w:val="20"/>
                <w:szCs w:val="20"/>
                <w:lang w:eastAsia="en-NZ"/>
              </w:rPr>
              <w:t>(µm)</w:t>
            </w:r>
          </w:p>
        </w:tc>
        <w:tc>
          <w:tcPr>
            <w:tcW w:w="1398" w:type="dxa"/>
            <w:shd w:val="clear" w:color="auto" w:fill="FFFFFF"/>
            <w:vAlign w:val="center"/>
          </w:tcPr>
          <w:p w14:paraId="55CD878C"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2.374</w:t>
            </w:r>
          </w:p>
        </w:tc>
        <w:tc>
          <w:tcPr>
            <w:tcW w:w="1399" w:type="dxa"/>
            <w:shd w:val="clear" w:color="auto" w:fill="FFFFFF"/>
            <w:vAlign w:val="center"/>
          </w:tcPr>
          <w:p w14:paraId="48D5F068"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1.793</w:t>
            </w:r>
          </w:p>
        </w:tc>
        <w:tc>
          <w:tcPr>
            <w:tcW w:w="1399" w:type="dxa"/>
            <w:shd w:val="clear" w:color="auto" w:fill="FFFFFF"/>
            <w:vAlign w:val="center"/>
          </w:tcPr>
          <w:p w14:paraId="5274AADC"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2.955</w:t>
            </w:r>
          </w:p>
        </w:tc>
        <w:tc>
          <w:tcPr>
            <w:tcW w:w="1399" w:type="dxa"/>
            <w:tcBorders>
              <w:right w:val="single" w:sz="4" w:space="0" w:color="auto"/>
            </w:tcBorders>
            <w:vAlign w:val="center"/>
          </w:tcPr>
          <w:p w14:paraId="60CB9508"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2.42 ± 0.09</w:t>
            </w:r>
          </w:p>
        </w:tc>
        <w:tc>
          <w:tcPr>
            <w:tcW w:w="1399" w:type="dxa"/>
            <w:tcBorders>
              <w:left w:val="single" w:sz="4" w:space="0" w:color="auto"/>
            </w:tcBorders>
            <w:shd w:val="clear" w:color="auto" w:fill="FFFFFF"/>
            <w:vAlign w:val="center"/>
          </w:tcPr>
          <w:p w14:paraId="7D214F4F"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2.93±0.07</w:t>
            </w:r>
          </w:p>
        </w:tc>
      </w:tr>
      <w:tr w:rsidR="003D0EB3" w:rsidRPr="009E1CED" w14:paraId="39277515" w14:textId="77777777" w:rsidTr="00A313DF">
        <w:trPr>
          <w:trHeight w:val="258"/>
        </w:trPr>
        <w:tc>
          <w:tcPr>
            <w:tcW w:w="0" w:type="auto"/>
            <w:shd w:val="clear" w:color="auto" w:fill="FFFFFF"/>
            <w:vAlign w:val="center"/>
          </w:tcPr>
          <w:p w14:paraId="6B61CA01"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D</w:t>
            </w:r>
            <w:r w:rsidRPr="009E1CED">
              <w:rPr>
                <w:rFonts w:ascii="Arial" w:hAnsi="Arial"/>
                <w:b/>
                <w:sz w:val="20"/>
                <w:szCs w:val="20"/>
                <w:vertAlign w:val="subscript"/>
                <w:lang w:eastAsia="en-NZ"/>
              </w:rPr>
              <w:t xml:space="preserve">(v,90) </w:t>
            </w:r>
            <w:r w:rsidRPr="009E1CED">
              <w:rPr>
                <w:rFonts w:ascii="Arial" w:hAnsi="Arial"/>
                <w:b/>
                <w:sz w:val="20"/>
                <w:szCs w:val="20"/>
                <w:lang w:eastAsia="en-NZ"/>
              </w:rPr>
              <w:t>(µm)</w:t>
            </w:r>
          </w:p>
        </w:tc>
        <w:tc>
          <w:tcPr>
            <w:tcW w:w="1398" w:type="dxa"/>
            <w:shd w:val="clear" w:color="auto" w:fill="FFFFFF"/>
            <w:vAlign w:val="center"/>
          </w:tcPr>
          <w:p w14:paraId="218F72EA"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6.108</w:t>
            </w:r>
          </w:p>
        </w:tc>
        <w:tc>
          <w:tcPr>
            <w:tcW w:w="1399" w:type="dxa"/>
            <w:shd w:val="clear" w:color="auto" w:fill="FFFFFF"/>
            <w:vAlign w:val="center"/>
          </w:tcPr>
          <w:p w14:paraId="173850CE"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4.583</w:t>
            </w:r>
          </w:p>
        </w:tc>
        <w:tc>
          <w:tcPr>
            <w:tcW w:w="1399" w:type="dxa"/>
            <w:shd w:val="clear" w:color="auto" w:fill="FFFFFF"/>
            <w:vAlign w:val="center"/>
          </w:tcPr>
          <w:p w14:paraId="6680A17C"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7.633</w:t>
            </w:r>
          </w:p>
        </w:tc>
        <w:tc>
          <w:tcPr>
            <w:tcW w:w="1399" w:type="dxa"/>
            <w:tcBorders>
              <w:right w:val="single" w:sz="4" w:space="0" w:color="auto"/>
            </w:tcBorders>
            <w:vAlign w:val="center"/>
          </w:tcPr>
          <w:p w14:paraId="6FC00A28" w14:textId="77777777" w:rsidR="003D0EB3" w:rsidRPr="009E1CED" w:rsidRDefault="003D0EB3" w:rsidP="00A313DF">
            <w:pPr>
              <w:spacing w:after="0"/>
              <w:jc w:val="center"/>
              <w:rPr>
                <w:rFonts w:ascii="Arial" w:hAnsi="Arial"/>
                <w:sz w:val="20"/>
                <w:szCs w:val="20"/>
                <w:highlight w:val="green"/>
                <w:lang w:eastAsia="en-NZ"/>
              </w:rPr>
            </w:pPr>
            <w:r w:rsidRPr="009E1CED">
              <w:rPr>
                <w:rFonts w:ascii="Arial" w:hAnsi="Arial"/>
                <w:sz w:val="20"/>
                <w:szCs w:val="20"/>
                <w:lang w:eastAsia="en-NZ"/>
              </w:rPr>
              <w:t>5.30 ± 0.23</w:t>
            </w:r>
          </w:p>
        </w:tc>
        <w:tc>
          <w:tcPr>
            <w:tcW w:w="1399" w:type="dxa"/>
            <w:tcBorders>
              <w:left w:val="single" w:sz="4" w:space="0" w:color="auto"/>
            </w:tcBorders>
            <w:shd w:val="clear" w:color="auto" w:fill="FFFFFF"/>
            <w:vAlign w:val="center"/>
          </w:tcPr>
          <w:p w14:paraId="355280E4"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8.01±0.37</w:t>
            </w:r>
          </w:p>
        </w:tc>
      </w:tr>
      <w:tr w:rsidR="003D0EB3" w:rsidRPr="009E1CED" w14:paraId="7B54CCB9" w14:textId="77777777" w:rsidTr="00A313DF">
        <w:trPr>
          <w:trHeight w:val="258"/>
        </w:trPr>
        <w:tc>
          <w:tcPr>
            <w:tcW w:w="0" w:type="auto"/>
            <w:shd w:val="clear" w:color="auto" w:fill="FFFFFF"/>
            <w:vAlign w:val="center"/>
          </w:tcPr>
          <w:p w14:paraId="39C380B2"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Span</w:t>
            </w:r>
          </w:p>
        </w:tc>
        <w:tc>
          <w:tcPr>
            <w:tcW w:w="1398" w:type="dxa"/>
            <w:shd w:val="clear" w:color="auto" w:fill="FFFFFF"/>
            <w:vAlign w:val="center"/>
          </w:tcPr>
          <w:p w14:paraId="1C2CECE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2.199</w:t>
            </w:r>
          </w:p>
        </w:tc>
        <w:tc>
          <w:tcPr>
            <w:tcW w:w="1399" w:type="dxa"/>
            <w:shd w:val="clear" w:color="auto" w:fill="FFFFFF"/>
            <w:vAlign w:val="center"/>
          </w:tcPr>
          <w:p w14:paraId="028840C5"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0.783</w:t>
            </w:r>
          </w:p>
        </w:tc>
        <w:tc>
          <w:tcPr>
            <w:tcW w:w="1399" w:type="dxa"/>
            <w:shd w:val="clear" w:color="auto" w:fill="FFFFFF"/>
            <w:vAlign w:val="center"/>
          </w:tcPr>
          <w:p w14:paraId="40296E8D"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3.614</w:t>
            </w:r>
          </w:p>
        </w:tc>
        <w:tc>
          <w:tcPr>
            <w:tcW w:w="1399" w:type="dxa"/>
            <w:tcBorders>
              <w:right w:val="single" w:sz="4" w:space="0" w:color="auto"/>
            </w:tcBorders>
            <w:vAlign w:val="center"/>
          </w:tcPr>
          <w:p w14:paraId="1082FEC7" w14:textId="77777777" w:rsidR="003D0EB3" w:rsidRPr="009E1CED" w:rsidRDefault="003D0EB3" w:rsidP="00A313DF">
            <w:pPr>
              <w:spacing w:after="0"/>
              <w:jc w:val="center"/>
              <w:rPr>
                <w:rFonts w:ascii="Arial" w:hAnsi="Arial"/>
                <w:sz w:val="20"/>
                <w:szCs w:val="20"/>
                <w:highlight w:val="green"/>
                <w:lang w:eastAsia="en-NZ"/>
              </w:rPr>
            </w:pPr>
            <w:r w:rsidRPr="009E1CED">
              <w:rPr>
                <w:rFonts w:ascii="Arial" w:hAnsi="Arial"/>
                <w:sz w:val="20"/>
                <w:szCs w:val="20"/>
                <w:lang w:eastAsia="en-NZ"/>
              </w:rPr>
              <w:t>1.81 ± 0.05</w:t>
            </w:r>
          </w:p>
        </w:tc>
        <w:tc>
          <w:tcPr>
            <w:tcW w:w="1399" w:type="dxa"/>
            <w:tcBorders>
              <w:left w:val="single" w:sz="4" w:space="0" w:color="auto"/>
            </w:tcBorders>
            <w:shd w:val="clear" w:color="auto" w:fill="FFFFFF"/>
            <w:vAlign w:val="center"/>
          </w:tcPr>
          <w:p w14:paraId="0C74E3D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2.50±0.13</w:t>
            </w:r>
          </w:p>
        </w:tc>
      </w:tr>
      <w:tr w:rsidR="003D0EB3" w:rsidRPr="009E1CED" w14:paraId="0260798A" w14:textId="77777777" w:rsidTr="00A313DF">
        <w:trPr>
          <w:trHeight w:val="258"/>
        </w:trPr>
        <w:tc>
          <w:tcPr>
            <w:tcW w:w="0" w:type="auto"/>
            <w:shd w:val="clear" w:color="auto" w:fill="FFFFFF"/>
            <w:vAlign w:val="center"/>
          </w:tcPr>
          <w:p w14:paraId="7F3EC273"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Yield (%)</w:t>
            </w:r>
          </w:p>
        </w:tc>
        <w:tc>
          <w:tcPr>
            <w:tcW w:w="1398" w:type="dxa"/>
            <w:shd w:val="clear" w:color="auto" w:fill="FFFFFF"/>
            <w:vAlign w:val="center"/>
          </w:tcPr>
          <w:p w14:paraId="25B6AFB0"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60.86</w:t>
            </w:r>
          </w:p>
        </w:tc>
        <w:tc>
          <w:tcPr>
            <w:tcW w:w="1399" w:type="dxa"/>
            <w:shd w:val="clear" w:color="auto" w:fill="FFFFFF"/>
            <w:vAlign w:val="center"/>
          </w:tcPr>
          <w:p w14:paraId="6C7EBACB" w14:textId="77777777" w:rsidR="003D0EB3" w:rsidRPr="009E1CED" w:rsidRDefault="003D0EB3" w:rsidP="00A313DF">
            <w:pPr>
              <w:spacing w:after="0"/>
              <w:jc w:val="center"/>
              <w:rPr>
                <w:rFonts w:ascii="Arial" w:hAnsi="Arial"/>
                <w:color w:val="2E2E2E"/>
                <w:sz w:val="20"/>
                <w:szCs w:val="20"/>
                <w:lang w:eastAsia="en-NZ"/>
              </w:rPr>
            </w:pPr>
            <w:r w:rsidRPr="009E1CED">
              <w:rPr>
                <w:rFonts w:ascii="Arial" w:hAnsi="Arial"/>
                <w:color w:val="2E2E2E"/>
                <w:sz w:val="20"/>
                <w:szCs w:val="20"/>
                <w:lang w:eastAsia="en-NZ"/>
              </w:rPr>
              <w:t>49.49</w:t>
            </w:r>
          </w:p>
        </w:tc>
        <w:tc>
          <w:tcPr>
            <w:tcW w:w="1399" w:type="dxa"/>
            <w:shd w:val="clear" w:color="auto" w:fill="FFFFFF"/>
            <w:vAlign w:val="center"/>
          </w:tcPr>
          <w:p w14:paraId="54D0DF01" w14:textId="77777777" w:rsidR="003D0EB3" w:rsidRPr="009E1CED" w:rsidRDefault="003D0EB3" w:rsidP="00A313DF">
            <w:pPr>
              <w:spacing w:after="0"/>
              <w:jc w:val="center"/>
              <w:rPr>
                <w:rFonts w:ascii="Arial" w:hAnsi="Arial"/>
                <w:color w:val="2E2E2E"/>
                <w:sz w:val="20"/>
                <w:szCs w:val="20"/>
                <w:lang w:eastAsia="en-NZ"/>
              </w:rPr>
            </w:pPr>
            <w:r w:rsidRPr="009E1CED">
              <w:rPr>
                <w:rFonts w:ascii="Arial" w:hAnsi="Arial"/>
                <w:color w:val="2E2E2E"/>
                <w:sz w:val="20"/>
                <w:szCs w:val="20"/>
                <w:lang w:eastAsia="en-NZ"/>
              </w:rPr>
              <w:t>72.24</w:t>
            </w:r>
          </w:p>
        </w:tc>
        <w:tc>
          <w:tcPr>
            <w:tcW w:w="1399" w:type="dxa"/>
            <w:tcBorders>
              <w:right w:val="single" w:sz="4" w:space="0" w:color="auto"/>
            </w:tcBorders>
            <w:vAlign w:val="center"/>
          </w:tcPr>
          <w:p w14:paraId="6C07FA8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71.13 ±1.08</w:t>
            </w:r>
          </w:p>
        </w:tc>
        <w:tc>
          <w:tcPr>
            <w:tcW w:w="1399" w:type="dxa"/>
            <w:tcBorders>
              <w:left w:val="single" w:sz="4" w:space="0" w:color="auto"/>
            </w:tcBorders>
            <w:shd w:val="clear" w:color="auto" w:fill="FFFFFF"/>
            <w:vAlign w:val="center"/>
          </w:tcPr>
          <w:p w14:paraId="09224291"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71.30</w:t>
            </w:r>
          </w:p>
        </w:tc>
      </w:tr>
      <w:tr w:rsidR="003D0EB3" w:rsidRPr="009E1CED" w14:paraId="1793BE0D" w14:textId="77777777" w:rsidTr="00A313DF">
        <w:trPr>
          <w:trHeight w:val="258"/>
        </w:trPr>
        <w:tc>
          <w:tcPr>
            <w:tcW w:w="0" w:type="auto"/>
            <w:tcBorders>
              <w:bottom w:val="single" w:sz="4" w:space="0" w:color="auto"/>
            </w:tcBorders>
            <w:shd w:val="clear" w:color="auto" w:fill="FFFFFF"/>
            <w:vAlign w:val="center"/>
          </w:tcPr>
          <w:p w14:paraId="4A2353D6" w14:textId="77777777" w:rsidR="003D0EB3" w:rsidRPr="009E1CED" w:rsidRDefault="003D0EB3" w:rsidP="00A313DF">
            <w:pPr>
              <w:spacing w:after="0"/>
              <w:jc w:val="center"/>
              <w:rPr>
                <w:rFonts w:ascii="Arial" w:hAnsi="Arial"/>
                <w:b/>
                <w:sz w:val="20"/>
                <w:szCs w:val="20"/>
                <w:lang w:eastAsia="en-NZ"/>
              </w:rPr>
            </w:pPr>
            <w:r w:rsidRPr="009E1CED">
              <w:rPr>
                <w:rFonts w:ascii="Arial" w:hAnsi="Arial"/>
                <w:b/>
                <w:sz w:val="20"/>
                <w:szCs w:val="20"/>
                <w:lang w:eastAsia="en-NZ"/>
              </w:rPr>
              <w:t>Residual moisture content (RMC; %)</w:t>
            </w:r>
          </w:p>
        </w:tc>
        <w:tc>
          <w:tcPr>
            <w:tcW w:w="1398" w:type="dxa"/>
            <w:tcBorders>
              <w:bottom w:val="single" w:sz="4" w:space="0" w:color="auto"/>
            </w:tcBorders>
            <w:shd w:val="clear" w:color="auto" w:fill="FFFFFF"/>
            <w:vAlign w:val="center"/>
          </w:tcPr>
          <w:p w14:paraId="48541522"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3.279</w:t>
            </w:r>
          </w:p>
        </w:tc>
        <w:tc>
          <w:tcPr>
            <w:tcW w:w="1399" w:type="dxa"/>
            <w:tcBorders>
              <w:bottom w:val="single" w:sz="4" w:space="0" w:color="auto"/>
            </w:tcBorders>
            <w:shd w:val="clear" w:color="auto" w:fill="FFFFFF"/>
            <w:vAlign w:val="center"/>
          </w:tcPr>
          <w:p w14:paraId="5CBB8268"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2.728</w:t>
            </w:r>
          </w:p>
        </w:tc>
        <w:tc>
          <w:tcPr>
            <w:tcW w:w="1399" w:type="dxa"/>
            <w:tcBorders>
              <w:bottom w:val="single" w:sz="4" w:space="0" w:color="auto"/>
            </w:tcBorders>
            <w:shd w:val="clear" w:color="auto" w:fill="FFFFFF"/>
            <w:vAlign w:val="center"/>
          </w:tcPr>
          <w:p w14:paraId="2086AD72" w14:textId="77777777" w:rsidR="003D0EB3" w:rsidRPr="009E1CED" w:rsidRDefault="003D0EB3" w:rsidP="00A313DF">
            <w:pPr>
              <w:spacing w:after="0"/>
              <w:jc w:val="center"/>
              <w:rPr>
                <w:rFonts w:ascii="Arial" w:hAnsi="Arial"/>
                <w:sz w:val="20"/>
                <w:szCs w:val="20"/>
                <w:lang w:eastAsia="en-NZ"/>
              </w:rPr>
            </w:pPr>
            <w:r w:rsidRPr="009E1CED">
              <w:rPr>
                <w:rFonts w:ascii="Arial" w:hAnsi="Arial"/>
                <w:color w:val="2E2E2E"/>
                <w:sz w:val="20"/>
                <w:szCs w:val="20"/>
                <w:lang w:eastAsia="en-NZ"/>
              </w:rPr>
              <w:t>3.830</w:t>
            </w:r>
          </w:p>
        </w:tc>
        <w:tc>
          <w:tcPr>
            <w:tcW w:w="1399" w:type="dxa"/>
            <w:tcBorders>
              <w:bottom w:val="single" w:sz="4" w:space="0" w:color="auto"/>
              <w:right w:val="single" w:sz="4" w:space="0" w:color="auto"/>
            </w:tcBorders>
            <w:vAlign w:val="center"/>
          </w:tcPr>
          <w:p w14:paraId="69B8A3D6" w14:textId="77777777" w:rsidR="003D0EB3" w:rsidRPr="009E1CED" w:rsidRDefault="003D0EB3" w:rsidP="00A313DF">
            <w:pPr>
              <w:spacing w:after="0"/>
              <w:jc w:val="center"/>
              <w:rPr>
                <w:rFonts w:ascii="Arial" w:hAnsi="Arial"/>
                <w:sz w:val="20"/>
                <w:szCs w:val="20"/>
                <w:lang w:eastAsia="en-NZ"/>
              </w:rPr>
            </w:pPr>
            <w:bookmarkStart w:id="5" w:name="_Hlk132322850"/>
            <w:r w:rsidRPr="009E1CED">
              <w:rPr>
                <w:rFonts w:ascii="Arial" w:hAnsi="Arial"/>
                <w:sz w:val="20"/>
                <w:szCs w:val="20"/>
                <w:lang w:eastAsia="en-NZ"/>
              </w:rPr>
              <w:t xml:space="preserve">3.44 </w:t>
            </w:r>
            <w:bookmarkEnd w:id="5"/>
            <w:r w:rsidRPr="009E1CED">
              <w:rPr>
                <w:rFonts w:ascii="Arial" w:hAnsi="Arial"/>
                <w:sz w:val="20"/>
                <w:szCs w:val="20"/>
                <w:lang w:eastAsia="en-NZ"/>
              </w:rPr>
              <w:t>± 0.19</w:t>
            </w:r>
          </w:p>
        </w:tc>
        <w:tc>
          <w:tcPr>
            <w:tcW w:w="1399" w:type="dxa"/>
            <w:tcBorders>
              <w:left w:val="single" w:sz="4" w:space="0" w:color="auto"/>
              <w:bottom w:val="single" w:sz="4" w:space="0" w:color="auto"/>
            </w:tcBorders>
            <w:shd w:val="clear" w:color="auto" w:fill="FFFFFF"/>
            <w:vAlign w:val="center"/>
          </w:tcPr>
          <w:p w14:paraId="6B723623" w14:textId="77777777" w:rsidR="003D0EB3" w:rsidRPr="009E1CED" w:rsidRDefault="003D0EB3" w:rsidP="00A313DF">
            <w:pPr>
              <w:spacing w:after="0"/>
              <w:jc w:val="center"/>
              <w:rPr>
                <w:rFonts w:ascii="Arial" w:hAnsi="Arial"/>
                <w:sz w:val="20"/>
                <w:szCs w:val="20"/>
                <w:lang w:eastAsia="en-NZ"/>
              </w:rPr>
            </w:pPr>
            <w:r w:rsidRPr="009E1CED">
              <w:rPr>
                <w:rFonts w:ascii="Arial" w:hAnsi="Arial"/>
                <w:sz w:val="20"/>
                <w:szCs w:val="20"/>
                <w:lang w:eastAsia="en-NZ"/>
              </w:rPr>
              <w:t>3.400</w:t>
            </w:r>
          </w:p>
        </w:tc>
      </w:tr>
    </w:tbl>
    <w:p w14:paraId="19EEAA67" w14:textId="77777777" w:rsidR="003D0EB3" w:rsidRPr="009E1CED" w:rsidRDefault="003D0EB3" w:rsidP="003D0EB3">
      <w:pPr>
        <w:spacing w:after="0"/>
        <w:ind w:firstLine="720"/>
        <w:rPr>
          <w:rFonts w:ascii="Arial" w:eastAsia="Calibri" w:hAnsi="Arial" w:cs="Arial"/>
          <w:sz w:val="20"/>
          <w:szCs w:val="20"/>
          <w:lang w:val="en-US"/>
        </w:rPr>
      </w:pPr>
      <w:bookmarkStart w:id="6" w:name="_Hlk135055557"/>
      <w:r w:rsidRPr="009E1CED">
        <w:rPr>
          <w:rFonts w:ascii="Arial" w:eastAsia="Calibri" w:hAnsi="Arial" w:cs="Arial"/>
          <w:sz w:val="20"/>
          <w:szCs w:val="20"/>
          <w:lang w:val="en-US"/>
        </w:rPr>
        <w:t>* The formulation of acceptable QTPP is shown here for comparison.</w:t>
      </w:r>
    </w:p>
    <w:bookmarkEnd w:id="6"/>
    <w:p w14:paraId="740BF54D" w14:textId="77777777" w:rsidR="003D0EB3" w:rsidRPr="009E1CED" w:rsidRDefault="003D0EB3" w:rsidP="003D0EB3">
      <w:pPr>
        <w:rPr>
          <w:rFonts w:ascii="Arial" w:eastAsia="Calibri" w:hAnsi="Arial" w:cs="Arial"/>
          <w:kern w:val="2"/>
          <w:sz w:val="20"/>
          <w:szCs w:val="20"/>
          <w:lang w:val="en-IE"/>
          <w14:ligatures w14:val="standardContextual"/>
        </w:rPr>
      </w:pPr>
    </w:p>
    <w:p w14:paraId="09CE7A8B" w14:textId="77777777" w:rsidR="003D0EB3" w:rsidRPr="009E1CED" w:rsidRDefault="003D0EB3" w:rsidP="003D0EB3">
      <w:pPr>
        <w:rPr>
          <w:rFonts w:ascii="Arial" w:eastAsia="Calibri" w:hAnsi="Arial" w:cs="Arial"/>
          <w:kern w:val="2"/>
          <w:sz w:val="20"/>
          <w:szCs w:val="20"/>
          <w:lang w:val="en-IE"/>
          <w14:ligatures w14:val="standardContextual"/>
        </w:rPr>
      </w:pPr>
      <w:r w:rsidRPr="009E1CED">
        <w:rPr>
          <w:rFonts w:ascii="Arial" w:eastAsia="Calibri" w:hAnsi="Arial" w:cs="Arial"/>
          <w:kern w:val="2"/>
          <w:sz w:val="20"/>
          <w:szCs w:val="20"/>
          <w:lang w:val="en-IE"/>
          <w14:ligatures w14:val="standardContextual"/>
        </w:rPr>
        <w:t xml:space="preserve">The optimised formulation exhibited favourable </w:t>
      </w:r>
      <w:r w:rsidRPr="009E1CED">
        <w:rPr>
          <w:rFonts w:ascii="Arial" w:eastAsia="Calibri" w:hAnsi="Arial" w:cs="Arial"/>
          <w:i/>
          <w:iCs/>
          <w:kern w:val="2"/>
          <w:sz w:val="20"/>
          <w:szCs w:val="20"/>
          <w:lang w:val="en-IE"/>
          <w14:ligatures w14:val="standardContextual"/>
        </w:rPr>
        <w:t>in vitro</w:t>
      </w:r>
      <w:r w:rsidRPr="009E1CED">
        <w:rPr>
          <w:rFonts w:ascii="Arial" w:eastAsia="Calibri" w:hAnsi="Arial" w:cs="Arial"/>
          <w:kern w:val="2"/>
          <w:sz w:val="20"/>
          <w:szCs w:val="20"/>
          <w:lang w:val="en-IE"/>
          <w14:ligatures w14:val="standardContextual"/>
        </w:rPr>
        <w:t xml:space="preserve"> aerosolization performance with MMAD of about 2.3 µm, emitted dose &gt; 80% and fine particle fractions &gt; 70% (Table 3).  </w:t>
      </w:r>
    </w:p>
    <w:p w14:paraId="513FEBCE" w14:textId="77777777" w:rsidR="003D0EB3" w:rsidRPr="009E1CED" w:rsidRDefault="003D0EB3" w:rsidP="003D0EB3">
      <w:pPr>
        <w:rPr>
          <w:rFonts w:ascii="Arial" w:eastAsia="Calibri" w:hAnsi="Arial" w:cs="Arial"/>
          <w:kern w:val="2"/>
          <w:sz w:val="20"/>
          <w:szCs w:val="20"/>
          <w:lang w:val="en-IE"/>
          <w14:ligatures w14:val="standardContextual"/>
        </w:rPr>
      </w:pPr>
    </w:p>
    <w:p w14:paraId="1C46185A" w14:textId="77777777" w:rsidR="003D0EB3" w:rsidRPr="009E1CED" w:rsidRDefault="003D0EB3" w:rsidP="003D0EB3">
      <w:pPr>
        <w:spacing w:after="0"/>
        <w:ind w:firstLine="720"/>
        <w:rPr>
          <w:rFonts w:ascii="Arial" w:eastAsia="Calibri" w:hAnsi="Arial" w:cs="Arial"/>
          <w:sz w:val="20"/>
          <w:szCs w:val="20"/>
          <w:lang w:val="en-US" w:eastAsia="ja-JP"/>
        </w:rPr>
      </w:pPr>
      <w:r w:rsidRPr="009E1CED">
        <w:rPr>
          <w:rFonts w:ascii="Arial" w:eastAsia="Calibri" w:hAnsi="Arial" w:cs="Arial"/>
          <w:b/>
          <w:bCs/>
          <w:sz w:val="20"/>
          <w:szCs w:val="20"/>
        </w:rPr>
        <w:t>Table 3.</w:t>
      </w:r>
      <w:r w:rsidRPr="009E1CED">
        <w:rPr>
          <w:rFonts w:ascii="Arial" w:eastAsia="Calibri" w:hAnsi="Arial" w:cs="Arial"/>
          <w:sz w:val="20"/>
          <w:szCs w:val="20"/>
        </w:rPr>
        <w:t xml:space="preserve"> </w:t>
      </w:r>
      <w:r w:rsidRPr="009E1CED">
        <w:rPr>
          <w:rFonts w:ascii="Arial" w:eastAsia="Calibri" w:hAnsi="Arial" w:cs="Arial"/>
          <w:i/>
          <w:iCs/>
          <w:sz w:val="20"/>
          <w:szCs w:val="20"/>
        </w:rPr>
        <w:t>In vitro</w:t>
      </w:r>
      <w:r w:rsidRPr="009E1CED">
        <w:rPr>
          <w:rFonts w:ascii="Arial" w:eastAsia="Calibri" w:hAnsi="Arial" w:cs="Arial"/>
          <w:sz w:val="20"/>
          <w:szCs w:val="20"/>
        </w:rPr>
        <w:t xml:space="preserve"> aerodynamic parameters of the optimized spray-dried formulation. </w:t>
      </w:r>
    </w:p>
    <w:tbl>
      <w:tblPr>
        <w:tblW w:w="8753" w:type="dxa"/>
        <w:jc w:val="center"/>
        <w:tblLayout w:type="fixed"/>
        <w:tblLook w:val="04A0" w:firstRow="1" w:lastRow="0" w:firstColumn="1" w:lastColumn="0" w:noHBand="0" w:noVBand="1"/>
      </w:tblPr>
      <w:tblGrid>
        <w:gridCol w:w="1458"/>
        <w:gridCol w:w="1459"/>
        <w:gridCol w:w="1459"/>
        <w:gridCol w:w="1459"/>
        <w:gridCol w:w="1459"/>
        <w:gridCol w:w="1459"/>
      </w:tblGrid>
      <w:tr w:rsidR="003D0EB3" w:rsidRPr="009E1CED" w14:paraId="7C0B95E7" w14:textId="77777777" w:rsidTr="00A313DF">
        <w:trPr>
          <w:trHeight w:val="300"/>
          <w:jc w:val="center"/>
        </w:trPr>
        <w:tc>
          <w:tcPr>
            <w:tcW w:w="1458" w:type="dxa"/>
            <w:tcBorders>
              <w:top w:val="single" w:sz="4" w:space="0" w:color="auto"/>
              <w:left w:val="nil"/>
              <w:bottom w:val="single" w:sz="4" w:space="0" w:color="auto"/>
              <w:right w:val="nil"/>
            </w:tcBorders>
            <w:shd w:val="clear" w:color="auto" w:fill="auto"/>
            <w:noWrap/>
            <w:vAlign w:val="center"/>
            <w:hideMark/>
          </w:tcPr>
          <w:p w14:paraId="4820F85B" w14:textId="77777777" w:rsidR="003D0EB3" w:rsidRPr="009E1CED" w:rsidRDefault="003D0EB3" w:rsidP="00A313DF">
            <w:pPr>
              <w:spacing w:after="0"/>
              <w:jc w:val="center"/>
              <w:rPr>
                <w:rFonts w:ascii="Arial" w:hAnsi="Arial" w:cs="Arial"/>
                <w:b/>
                <w:bCs/>
                <w:sz w:val="20"/>
                <w:szCs w:val="20"/>
              </w:rPr>
            </w:pPr>
          </w:p>
        </w:tc>
        <w:tc>
          <w:tcPr>
            <w:tcW w:w="1459" w:type="dxa"/>
            <w:tcBorders>
              <w:top w:val="single" w:sz="4" w:space="0" w:color="auto"/>
              <w:left w:val="nil"/>
              <w:bottom w:val="single" w:sz="4" w:space="0" w:color="auto"/>
              <w:right w:val="nil"/>
            </w:tcBorders>
            <w:shd w:val="clear" w:color="auto" w:fill="auto"/>
            <w:vAlign w:val="center"/>
          </w:tcPr>
          <w:p w14:paraId="33E495B9" w14:textId="77777777" w:rsidR="003D0EB3" w:rsidRPr="009E1CED" w:rsidRDefault="003D0EB3" w:rsidP="00A313DF">
            <w:pPr>
              <w:spacing w:after="0"/>
              <w:jc w:val="center"/>
              <w:rPr>
                <w:rFonts w:ascii="Arial" w:hAnsi="Arial" w:cs="Arial"/>
                <w:b/>
                <w:bCs/>
                <w:sz w:val="20"/>
                <w:szCs w:val="20"/>
              </w:rPr>
            </w:pPr>
            <w:r w:rsidRPr="009E1CED">
              <w:rPr>
                <w:rFonts w:ascii="Arial" w:eastAsia="Calibri" w:hAnsi="Arial" w:cs="Arial"/>
                <w:b/>
                <w:bCs/>
                <w:sz w:val="20"/>
                <w:szCs w:val="20"/>
                <w:lang w:val="en-US"/>
              </w:rPr>
              <w:t xml:space="preserve">MMAD </w:t>
            </w:r>
            <w:r w:rsidRPr="009E1CED">
              <w:rPr>
                <w:rFonts w:ascii="Arial" w:eastAsia="Calibri" w:hAnsi="Arial" w:cs="Arial"/>
                <w:sz w:val="20"/>
                <w:szCs w:val="20"/>
                <w:lang w:val="en-US"/>
              </w:rPr>
              <w:t>(µm)</w:t>
            </w:r>
          </w:p>
        </w:tc>
        <w:tc>
          <w:tcPr>
            <w:tcW w:w="1459" w:type="dxa"/>
            <w:tcBorders>
              <w:top w:val="single" w:sz="4" w:space="0" w:color="auto"/>
              <w:left w:val="nil"/>
              <w:bottom w:val="single" w:sz="4" w:space="0" w:color="auto"/>
              <w:right w:val="nil"/>
            </w:tcBorders>
            <w:shd w:val="clear" w:color="auto" w:fill="auto"/>
            <w:vAlign w:val="center"/>
          </w:tcPr>
          <w:p w14:paraId="6350ABCD" w14:textId="77777777" w:rsidR="003D0EB3" w:rsidRPr="009E1CED" w:rsidRDefault="003D0EB3" w:rsidP="00A313DF">
            <w:pPr>
              <w:spacing w:after="0"/>
              <w:jc w:val="center"/>
              <w:rPr>
                <w:rFonts w:ascii="Arial" w:hAnsi="Arial" w:cs="Arial"/>
                <w:b/>
                <w:bCs/>
                <w:sz w:val="20"/>
                <w:szCs w:val="20"/>
              </w:rPr>
            </w:pPr>
            <w:r w:rsidRPr="009E1CED">
              <w:rPr>
                <w:rFonts w:ascii="Arial" w:eastAsia="Calibri" w:hAnsi="Arial" w:cs="Arial"/>
                <w:b/>
                <w:bCs/>
                <w:sz w:val="20"/>
                <w:szCs w:val="20"/>
                <w:lang w:val="en-US"/>
              </w:rPr>
              <w:t>GSD</w:t>
            </w:r>
          </w:p>
        </w:tc>
        <w:tc>
          <w:tcPr>
            <w:tcW w:w="1459" w:type="dxa"/>
            <w:tcBorders>
              <w:top w:val="single" w:sz="4" w:space="0" w:color="auto"/>
              <w:left w:val="nil"/>
              <w:bottom w:val="single" w:sz="4" w:space="0" w:color="auto"/>
              <w:right w:val="nil"/>
            </w:tcBorders>
            <w:shd w:val="clear" w:color="auto" w:fill="auto"/>
            <w:noWrap/>
            <w:vAlign w:val="center"/>
            <w:hideMark/>
          </w:tcPr>
          <w:p w14:paraId="28DBD042" w14:textId="77777777" w:rsidR="003D0EB3" w:rsidRPr="009E1CED" w:rsidRDefault="003D0EB3" w:rsidP="00A313DF">
            <w:pPr>
              <w:spacing w:after="0"/>
              <w:jc w:val="center"/>
              <w:rPr>
                <w:rFonts w:ascii="Arial" w:hAnsi="Arial" w:cs="Arial"/>
                <w:b/>
                <w:bCs/>
                <w:sz w:val="20"/>
                <w:szCs w:val="20"/>
              </w:rPr>
            </w:pPr>
            <w:r w:rsidRPr="009E1CED">
              <w:rPr>
                <w:rFonts w:ascii="Arial" w:hAnsi="Arial" w:cs="Arial"/>
                <w:b/>
                <w:bCs/>
                <w:sz w:val="20"/>
                <w:szCs w:val="20"/>
              </w:rPr>
              <w:t xml:space="preserve">RD </w:t>
            </w:r>
            <w:r w:rsidRPr="009E1CED">
              <w:rPr>
                <w:rFonts w:ascii="Arial" w:hAnsi="Arial" w:cs="Arial"/>
                <w:sz w:val="20"/>
                <w:szCs w:val="20"/>
              </w:rPr>
              <w:t>(%)</w:t>
            </w:r>
          </w:p>
        </w:tc>
        <w:tc>
          <w:tcPr>
            <w:tcW w:w="1459" w:type="dxa"/>
            <w:tcBorders>
              <w:top w:val="single" w:sz="4" w:space="0" w:color="auto"/>
              <w:left w:val="nil"/>
              <w:bottom w:val="single" w:sz="4" w:space="0" w:color="auto"/>
              <w:right w:val="nil"/>
            </w:tcBorders>
            <w:shd w:val="clear" w:color="auto" w:fill="auto"/>
            <w:noWrap/>
            <w:vAlign w:val="center"/>
            <w:hideMark/>
          </w:tcPr>
          <w:p w14:paraId="13D14653" w14:textId="77777777" w:rsidR="003D0EB3" w:rsidRPr="009E1CED" w:rsidRDefault="003D0EB3" w:rsidP="00A313DF">
            <w:pPr>
              <w:spacing w:after="0"/>
              <w:jc w:val="center"/>
              <w:rPr>
                <w:rFonts w:ascii="Arial" w:hAnsi="Arial" w:cs="Arial"/>
                <w:b/>
                <w:bCs/>
                <w:sz w:val="20"/>
                <w:szCs w:val="20"/>
              </w:rPr>
            </w:pPr>
            <w:r w:rsidRPr="009E1CED">
              <w:rPr>
                <w:rFonts w:ascii="Arial" w:hAnsi="Arial" w:cs="Arial"/>
                <w:b/>
                <w:bCs/>
                <w:sz w:val="20"/>
                <w:szCs w:val="20"/>
              </w:rPr>
              <w:t xml:space="preserve">ED </w:t>
            </w:r>
            <w:r w:rsidRPr="009E1CED">
              <w:rPr>
                <w:rFonts w:ascii="Arial" w:hAnsi="Arial" w:cs="Arial"/>
                <w:sz w:val="20"/>
                <w:szCs w:val="20"/>
              </w:rPr>
              <w:t>(%)</w:t>
            </w:r>
          </w:p>
        </w:tc>
        <w:tc>
          <w:tcPr>
            <w:tcW w:w="1459" w:type="dxa"/>
            <w:tcBorders>
              <w:top w:val="single" w:sz="4" w:space="0" w:color="auto"/>
              <w:left w:val="nil"/>
              <w:bottom w:val="single" w:sz="4" w:space="0" w:color="auto"/>
              <w:right w:val="nil"/>
            </w:tcBorders>
            <w:shd w:val="clear" w:color="auto" w:fill="auto"/>
            <w:noWrap/>
            <w:vAlign w:val="center"/>
            <w:hideMark/>
          </w:tcPr>
          <w:p w14:paraId="5E83A987" w14:textId="77777777" w:rsidR="003D0EB3" w:rsidRPr="009E1CED" w:rsidRDefault="003D0EB3" w:rsidP="00A313DF">
            <w:pPr>
              <w:spacing w:after="0"/>
              <w:jc w:val="center"/>
              <w:rPr>
                <w:rFonts w:ascii="Arial" w:hAnsi="Arial" w:cs="Arial"/>
                <w:b/>
                <w:bCs/>
                <w:sz w:val="20"/>
                <w:szCs w:val="20"/>
              </w:rPr>
            </w:pPr>
            <w:r w:rsidRPr="009E1CED">
              <w:rPr>
                <w:rFonts w:ascii="Arial" w:hAnsi="Arial" w:cs="Arial"/>
                <w:b/>
                <w:bCs/>
                <w:sz w:val="20"/>
                <w:szCs w:val="20"/>
              </w:rPr>
              <w:t xml:space="preserve">FPF </w:t>
            </w:r>
            <w:r w:rsidRPr="009E1CED">
              <w:rPr>
                <w:rFonts w:ascii="Arial" w:hAnsi="Arial" w:cs="Arial"/>
                <w:sz w:val="20"/>
                <w:szCs w:val="20"/>
              </w:rPr>
              <w:t>(%)</w:t>
            </w:r>
          </w:p>
        </w:tc>
      </w:tr>
      <w:tr w:rsidR="003D0EB3" w:rsidRPr="009E1CED" w14:paraId="5D648C2F" w14:textId="77777777" w:rsidTr="00A313DF">
        <w:trPr>
          <w:trHeight w:val="300"/>
          <w:jc w:val="center"/>
        </w:trPr>
        <w:tc>
          <w:tcPr>
            <w:tcW w:w="1458" w:type="dxa"/>
            <w:tcBorders>
              <w:top w:val="single" w:sz="4" w:space="0" w:color="auto"/>
              <w:left w:val="nil"/>
              <w:right w:val="nil"/>
            </w:tcBorders>
            <w:shd w:val="clear" w:color="auto" w:fill="auto"/>
            <w:noWrap/>
            <w:vAlign w:val="center"/>
            <w:hideMark/>
          </w:tcPr>
          <w:p w14:paraId="6382B467" w14:textId="77777777" w:rsidR="003D0EB3" w:rsidRPr="009E1CED" w:rsidRDefault="003D0EB3" w:rsidP="00A313DF">
            <w:pPr>
              <w:spacing w:after="0"/>
              <w:jc w:val="center"/>
              <w:rPr>
                <w:rFonts w:ascii="Arial" w:hAnsi="Arial" w:cs="Arial"/>
                <w:b/>
                <w:bCs/>
                <w:sz w:val="20"/>
                <w:szCs w:val="20"/>
              </w:rPr>
            </w:pPr>
            <w:r w:rsidRPr="009E1CED">
              <w:rPr>
                <w:rFonts w:ascii="Arial" w:hAnsi="Arial" w:cs="Arial"/>
                <w:b/>
                <w:bCs/>
                <w:sz w:val="20"/>
                <w:szCs w:val="20"/>
              </w:rPr>
              <w:t>Ciprofloxacin</w:t>
            </w:r>
          </w:p>
        </w:tc>
        <w:tc>
          <w:tcPr>
            <w:tcW w:w="1459" w:type="dxa"/>
            <w:tcBorders>
              <w:top w:val="nil"/>
              <w:left w:val="nil"/>
              <w:right w:val="nil"/>
            </w:tcBorders>
            <w:shd w:val="clear" w:color="auto" w:fill="auto"/>
            <w:vAlign w:val="center"/>
          </w:tcPr>
          <w:p w14:paraId="284FCC6E"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2.31 ± 0.06</w:t>
            </w:r>
          </w:p>
        </w:tc>
        <w:tc>
          <w:tcPr>
            <w:tcW w:w="1459" w:type="dxa"/>
            <w:tcBorders>
              <w:top w:val="nil"/>
              <w:left w:val="nil"/>
              <w:right w:val="nil"/>
            </w:tcBorders>
            <w:shd w:val="clear" w:color="auto" w:fill="auto"/>
            <w:vAlign w:val="center"/>
          </w:tcPr>
          <w:p w14:paraId="186258DA"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2.03 ± 0.11</w:t>
            </w:r>
          </w:p>
        </w:tc>
        <w:tc>
          <w:tcPr>
            <w:tcW w:w="1459" w:type="dxa"/>
            <w:tcBorders>
              <w:top w:val="nil"/>
              <w:left w:val="nil"/>
              <w:right w:val="nil"/>
            </w:tcBorders>
            <w:shd w:val="clear" w:color="auto" w:fill="auto"/>
            <w:noWrap/>
            <w:vAlign w:val="center"/>
            <w:hideMark/>
          </w:tcPr>
          <w:p w14:paraId="0FF76237"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98.32 ± 5.52</w:t>
            </w:r>
          </w:p>
        </w:tc>
        <w:tc>
          <w:tcPr>
            <w:tcW w:w="1459" w:type="dxa"/>
            <w:tcBorders>
              <w:top w:val="nil"/>
              <w:left w:val="nil"/>
              <w:right w:val="nil"/>
            </w:tcBorders>
            <w:shd w:val="clear" w:color="auto" w:fill="auto"/>
            <w:noWrap/>
            <w:vAlign w:val="center"/>
            <w:hideMark/>
          </w:tcPr>
          <w:p w14:paraId="207F823E"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88.26 ± 0.32</w:t>
            </w:r>
          </w:p>
        </w:tc>
        <w:tc>
          <w:tcPr>
            <w:tcW w:w="1459" w:type="dxa"/>
            <w:tcBorders>
              <w:top w:val="nil"/>
              <w:left w:val="nil"/>
              <w:right w:val="nil"/>
            </w:tcBorders>
            <w:shd w:val="clear" w:color="auto" w:fill="auto"/>
            <w:noWrap/>
            <w:vAlign w:val="center"/>
            <w:hideMark/>
          </w:tcPr>
          <w:p w14:paraId="56B44915"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73.74 ± 1.23</w:t>
            </w:r>
          </w:p>
        </w:tc>
      </w:tr>
      <w:tr w:rsidR="003D0EB3" w:rsidRPr="009E1CED" w14:paraId="32AAF688" w14:textId="77777777" w:rsidTr="00A313DF">
        <w:trPr>
          <w:trHeight w:val="300"/>
          <w:jc w:val="center"/>
        </w:trPr>
        <w:tc>
          <w:tcPr>
            <w:tcW w:w="1458" w:type="dxa"/>
            <w:tcBorders>
              <w:top w:val="nil"/>
              <w:left w:val="nil"/>
              <w:bottom w:val="single" w:sz="4" w:space="0" w:color="auto"/>
              <w:right w:val="nil"/>
            </w:tcBorders>
            <w:shd w:val="clear" w:color="auto" w:fill="auto"/>
            <w:noWrap/>
            <w:vAlign w:val="center"/>
            <w:hideMark/>
          </w:tcPr>
          <w:p w14:paraId="7562D3F1" w14:textId="77777777" w:rsidR="003D0EB3" w:rsidRPr="009E1CED" w:rsidRDefault="003D0EB3" w:rsidP="00A313DF">
            <w:pPr>
              <w:spacing w:after="0"/>
              <w:jc w:val="center"/>
              <w:rPr>
                <w:rFonts w:ascii="Arial" w:hAnsi="Arial" w:cs="Arial"/>
                <w:b/>
                <w:bCs/>
                <w:sz w:val="20"/>
                <w:szCs w:val="20"/>
              </w:rPr>
            </w:pPr>
            <w:r w:rsidRPr="009E1CED">
              <w:rPr>
                <w:rFonts w:ascii="Arial" w:hAnsi="Arial" w:cs="Arial"/>
                <w:b/>
                <w:bCs/>
                <w:sz w:val="20"/>
                <w:szCs w:val="20"/>
              </w:rPr>
              <w:lastRenderedPageBreak/>
              <w:t>Quercetin</w:t>
            </w:r>
          </w:p>
        </w:tc>
        <w:tc>
          <w:tcPr>
            <w:tcW w:w="1459" w:type="dxa"/>
            <w:tcBorders>
              <w:top w:val="nil"/>
              <w:left w:val="nil"/>
              <w:bottom w:val="single" w:sz="4" w:space="0" w:color="auto"/>
              <w:right w:val="nil"/>
            </w:tcBorders>
            <w:shd w:val="clear" w:color="auto" w:fill="auto"/>
            <w:vAlign w:val="center"/>
          </w:tcPr>
          <w:p w14:paraId="6B69C1D4"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2.24 ± 0.05</w:t>
            </w:r>
          </w:p>
        </w:tc>
        <w:tc>
          <w:tcPr>
            <w:tcW w:w="1459" w:type="dxa"/>
            <w:tcBorders>
              <w:top w:val="nil"/>
              <w:left w:val="nil"/>
              <w:bottom w:val="single" w:sz="4" w:space="0" w:color="auto"/>
              <w:right w:val="nil"/>
            </w:tcBorders>
            <w:shd w:val="clear" w:color="auto" w:fill="auto"/>
            <w:vAlign w:val="center"/>
          </w:tcPr>
          <w:p w14:paraId="533DD6D4"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1.78 ± 0.03</w:t>
            </w:r>
          </w:p>
        </w:tc>
        <w:tc>
          <w:tcPr>
            <w:tcW w:w="1459" w:type="dxa"/>
            <w:tcBorders>
              <w:top w:val="nil"/>
              <w:left w:val="nil"/>
              <w:bottom w:val="single" w:sz="4" w:space="0" w:color="auto"/>
              <w:right w:val="nil"/>
            </w:tcBorders>
            <w:shd w:val="clear" w:color="auto" w:fill="auto"/>
            <w:noWrap/>
            <w:vAlign w:val="center"/>
            <w:hideMark/>
          </w:tcPr>
          <w:p w14:paraId="066763C0"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92.77 ± 8.54</w:t>
            </w:r>
          </w:p>
        </w:tc>
        <w:tc>
          <w:tcPr>
            <w:tcW w:w="1459" w:type="dxa"/>
            <w:tcBorders>
              <w:top w:val="nil"/>
              <w:left w:val="nil"/>
              <w:bottom w:val="single" w:sz="4" w:space="0" w:color="auto"/>
              <w:right w:val="nil"/>
            </w:tcBorders>
            <w:shd w:val="clear" w:color="auto" w:fill="auto"/>
            <w:noWrap/>
            <w:vAlign w:val="center"/>
            <w:hideMark/>
          </w:tcPr>
          <w:p w14:paraId="476A8355"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83.64 ± 0.2</w:t>
            </w:r>
          </w:p>
        </w:tc>
        <w:tc>
          <w:tcPr>
            <w:tcW w:w="1459" w:type="dxa"/>
            <w:tcBorders>
              <w:top w:val="nil"/>
              <w:left w:val="nil"/>
              <w:bottom w:val="single" w:sz="4" w:space="0" w:color="auto"/>
              <w:right w:val="nil"/>
            </w:tcBorders>
            <w:shd w:val="clear" w:color="auto" w:fill="auto"/>
            <w:noWrap/>
            <w:vAlign w:val="center"/>
            <w:hideMark/>
          </w:tcPr>
          <w:p w14:paraId="5C3D31C3" w14:textId="77777777" w:rsidR="003D0EB3" w:rsidRPr="009E1CED" w:rsidRDefault="003D0EB3" w:rsidP="00A313DF">
            <w:pPr>
              <w:spacing w:after="0"/>
              <w:jc w:val="center"/>
              <w:rPr>
                <w:rFonts w:ascii="Arial" w:hAnsi="Arial" w:cs="Arial"/>
                <w:sz w:val="20"/>
                <w:szCs w:val="20"/>
              </w:rPr>
            </w:pPr>
            <w:r w:rsidRPr="009E1CED">
              <w:rPr>
                <w:rFonts w:ascii="Arial" w:eastAsia="Calibri" w:hAnsi="Arial" w:cs="Arial"/>
                <w:sz w:val="20"/>
                <w:szCs w:val="20"/>
                <w:lang w:val="en-US"/>
              </w:rPr>
              <w:t>74.02 ± 2.02</w:t>
            </w:r>
          </w:p>
        </w:tc>
      </w:tr>
    </w:tbl>
    <w:p w14:paraId="63C0A070" w14:textId="77777777" w:rsidR="003D0EB3" w:rsidRPr="009E1CED" w:rsidRDefault="003D0EB3" w:rsidP="003D0EB3">
      <w:pPr>
        <w:spacing w:after="0"/>
        <w:rPr>
          <w:rFonts w:ascii="Arial" w:eastAsia="Calibri" w:hAnsi="Arial" w:cs="Arial"/>
          <w:sz w:val="20"/>
          <w:szCs w:val="20"/>
          <w:lang w:val="en-US" w:eastAsia="ja-JP"/>
        </w:rPr>
      </w:pPr>
    </w:p>
    <w:p w14:paraId="6FD7CB24" w14:textId="77777777" w:rsidR="003D0EB3" w:rsidRPr="009E1CED" w:rsidRDefault="003D0EB3" w:rsidP="003D0EB3">
      <w:pPr>
        <w:pStyle w:val="DDLHeading1"/>
        <w:rPr>
          <w:rFonts w:cs="Arial"/>
          <w:color w:val="000000" w:themeColor="text1"/>
          <w:sz w:val="20"/>
          <w:szCs w:val="20"/>
        </w:rPr>
      </w:pPr>
      <w:r w:rsidRPr="009E1CED">
        <w:rPr>
          <w:rFonts w:cs="Arial"/>
          <w:color w:val="000000" w:themeColor="text1"/>
          <w:sz w:val="20"/>
          <w:szCs w:val="20"/>
        </w:rPr>
        <w:t>Conclusion</w:t>
      </w:r>
    </w:p>
    <w:p w14:paraId="4034855F" w14:textId="0FB34CB3" w:rsidR="003D0EB3" w:rsidRPr="009E1CED" w:rsidRDefault="003D0EB3" w:rsidP="00D14792">
      <w:pPr>
        <w:rPr>
          <w:rFonts w:ascii="Arial" w:eastAsia="Calibri" w:hAnsi="Arial" w:cs="Arial"/>
          <w:kern w:val="2"/>
          <w:sz w:val="20"/>
          <w:szCs w:val="20"/>
          <w:lang w:val="en-US"/>
          <w14:ligatures w14:val="standardContextual"/>
        </w:rPr>
      </w:pPr>
      <w:r w:rsidRPr="009E1CED">
        <w:rPr>
          <w:rFonts w:ascii="Arial" w:eastAsia="Calibri" w:hAnsi="Arial" w:cs="Arial"/>
          <w:kern w:val="2"/>
          <w:sz w:val="20"/>
          <w:szCs w:val="20"/>
          <w:lang w:val="en-US"/>
          <w14:ligatures w14:val="standardContextual"/>
        </w:rPr>
        <w:t xml:space="preserve">Effects of </w:t>
      </w:r>
      <w:r w:rsidRPr="009E1CED">
        <w:rPr>
          <w:rFonts w:ascii="Arial" w:eastAsia="Calibri" w:hAnsi="Arial" w:cs="Arial"/>
          <w:kern w:val="2"/>
          <w:sz w:val="20"/>
          <w:szCs w:val="20"/>
          <w:lang w:val="en-IE"/>
          <w14:ligatures w14:val="standardContextual"/>
        </w:rPr>
        <w:t xml:space="preserve">solute concentration, solution flow rate, atomizing air flow rate and inlet temperature </w:t>
      </w:r>
      <w:r w:rsidRPr="009E1CED">
        <w:rPr>
          <w:rFonts w:ascii="Arial" w:eastAsia="Calibri" w:hAnsi="Arial" w:cs="Arial"/>
          <w:kern w:val="2"/>
          <w:sz w:val="20"/>
          <w:szCs w:val="20"/>
          <w:lang w:val="en-US"/>
          <w14:ligatures w14:val="standardContextual"/>
        </w:rPr>
        <w:t xml:space="preserve">were evaluated to screen the spray-drying process parameters of significance on the QTPP. The QTPP was achieved in the formulation produced at solute concentration of 1 %w/v, solution flow rate of 100% (pump speed), atomizing air flow of 6.5 (L/min) and inlet temperature of 100 (°C). This formulation was optimised to further improve its </w:t>
      </w:r>
      <w:r w:rsidRPr="009E1CED">
        <w:rPr>
          <w:rFonts w:ascii="Arial" w:eastAsia="Calibri" w:hAnsi="Arial" w:cs="Arial"/>
          <w:kern w:val="2"/>
          <w:sz w:val="20"/>
          <w:szCs w:val="20"/>
          <w14:ligatures w14:val="standardContextual"/>
        </w:rPr>
        <w:t>D</w:t>
      </w:r>
      <w:r w:rsidRPr="009E1CED">
        <w:rPr>
          <w:rFonts w:ascii="Arial" w:eastAsia="Calibri" w:hAnsi="Arial" w:cs="Arial"/>
          <w:kern w:val="2"/>
          <w:sz w:val="20"/>
          <w:szCs w:val="20"/>
          <w:vertAlign w:val="subscript"/>
          <w14:ligatures w14:val="standardContextual"/>
        </w:rPr>
        <w:t xml:space="preserve">(v,90) </w:t>
      </w:r>
      <w:r w:rsidRPr="009E1CED">
        <w:rPr>
          <w:rFonts w:ascii="Arial" w:eastAsia="Calibri" w:hAnsi="Arial" w:cs="Arial"/>
          <w:kern w:val="2"/>
          <w:sz w:val="20"/>
          <w:szCs w:val="20"/>
          <w:lang w:val="en-US"/>
          <w14:ligatures w14:val="standardContextual"/>
        </w:rPr>
        <w:t xml:space="preserve">and span for pulmonary delivery purpose. The optimised formulation exhibited excellent aerosolization performance with MMAD of about 2.3 µm, emitted dose &gt; 80% and fine particle fractions &gt; 70%.  The achieved FPF is much higher than those of commercialized orally inhaled carrier based dry powder formulations which estimated to be below 30%. </w:t>
      </w:r>
      <w:r w:rsidRPr="009E1CED">
        <w:rPr>
          <w:rFonts w:ascii="Arial" w:eastAsia="Calibri" w:hAnsi="Arial" w:cs="Arial"/>
          <w:kern w:val="2"/>
          <w:sz w:val="20"/>
          <w:szCs w:val="20"/>
          <w:lang w:val="en-US"/>
          <w14:ligatures w14:val="standardContextual"/>
        </w:rPr>
        <w:fldChar w:fldCharType="begin" w:fldLock="1"/>
      </w:r>
      <w:r w:rsidRPr="009E1CED">
        <w:rPr>
          <w:rFonts w:ascii="Arial" w:eastAsia="Calibri" w:hAnsi="Arial" w:cs="Arial"/>
          <w:kern w:val="2"/>
          <w:sz w:val="20"/>
          <w:szCs w:val="20"/>
          <w:lang w:val="en-US"/>
          <w14:ligatures w14:val="standardContextual"/>
        </w:rPr>
        <w:instrText>ADDIN CSL_CITATION {"citationItems":[{"id":"ITEM-1","itemData":{"DOI":"10.3390/pharmaceutics12010055","ISBN":"1999-4923","abstract":"Although dry powder inhalers (DPIs) have attracted great interest compared to nebulizers and metered-dose inhalers (MDIs), drug deposition in the deep lung is still insufficient to enhance therapeutic activity. Indeed, it is estimated that only 10&amp;ndash;15% of the drug reaches the deep lung while 20% of the drug is lost in the oropharyngeal sphere and 65% is not released from the carrier. The potentiality of the powders to disperse in the air during the patient&amp;rsquo;s inhalation, the aerosolization, should be optimized. To do so, new strategies, in addition to classical lactose-carrier, have emerged. The lung deposition of carrier-free particles, mainly produced by spray drying, is higher due to non-interparticulate forces between the carrier and drug, as well as better powder uniformity and aerosolization. Moreover, the association of two or three active ingredients within the same powder seems easier. This review is focused on a new type of carrier-free particles which are characterized by a sugar-based core encompassed by a corrugated shell layer produced by spray drying. All excipients used to produce such particles are dissected and their physico-chemical properties (P&amp;eacute;clet number, glass transition temperature) are put in relation with the lung deposition ability of powders. The importance of spray-drying parameters on powders&amp;rsquo; properties and behaviors is also evaluated. Special attention is given to the relation between the morphology (characterized by a corrugated surface) and lung deposition performance. The understanding of the closed relation between particle material composition and spray-drying process parameters, impacting the final powder properties, could help in the development of promising DPI systems suitable for local or systemic drug delivery.","author":[{"dropping-particle":"","family":"Lechanteur","given":"Anna","non-dropping-particle":"","parse-names":false,"suffix":""},{"dropping-particle":"","family":"Evrard","given":"Brigitte","non-dropping-particle":"","parse-names":false,"suffix":""}],"container-title":"Pharmaceutics ","id":"ITEM-1","issue":"1","issued":{"date-parts":[["2020"]]},"title":"Influence of Composition and Spray-Drying Process Parameters on Carrier-Free DPI Properties and Behaviors in the Lung: A review","type":"article","volume":"12"},"uris":["http://www.mendeley.com/documents/?uuid=73415f9e-c728-479f-ad51-8de98604a76f"]}],"mendeley":{"formattedCitation":"&lt;sup&gt;3&lt;/sup&gt;","plainTextFormattedCitation":"3"},"properties":{"noteIndex":0},"schema":"https://github.com/citation-style-language/schema/raw/master/csl-citation.json"}</w:instrText>
      </w:r>
      <w:r w:rsidRPr="009E1CED">
        <w:rPr>
          <w:rFonts w:ascii="Arial" w:eastAsia="Calibri" w:hAnsi="Arial" w:cs="Arial"/>
          <w:kern w:val="2"/>
          <w:sz w:val="20"/>
          <w:szCs w:val="20"/>
          <w:lang w:val="en-US"/>
          <w14:ligatures w14:val="standardContextual"/>
        </w:rPr>
        <w:fldChar w:fldCharType="separate"/>
      </w:r>
      <w:r w:rsidRPr="009E1CED">
        <w:rPr>
          <w:rFonts w:ascii="Arial" w:eastAsia="Calibri" w:hAnsi="Arial" w:cs="Arial"/>
          <w:noProof/>
          <w:kern w:val="2"/>
          <w:sz w:val="20"/>
          <w:szCs w:val="20"/>
          <w:vertAlign w:val="superscript"/>
          <w:lang w:val="en-US"/>
          <w14:ligatures w14:val="standardContextual"/>
        </w:rPr>
        <w:t>3</w:t>
      </w:r>
      <w:r w:rsidRPr="009E1CED">
        <w:rPr>
          <w:rFonts w:ascii="Arial" w:eastAsia="Calibri" w:hAnsi="Arial" w:cs="Arial"/>
          <w:kern w:val="2"/>
          <w:sz w:val="20"/>
          <w:szCs w:val="20"/>
          <w:lang w:val="en-US"/>
          <w14:ligatures w14:val="standardContextual"/>
        </w:rPr>
        <w:fldChar w:fldCharType="end"/>
      </w:r>
    </w:p>
    <w:p w14:paraId="39ED676D" w14:textId="77777777" w:rsidR="003D0EB3" w:rsidRPr="009E1CED" w:rsidRDefault="003D0EB3" w:rsidP="003D0EB3">
      <w:pPr>
        <w:pStyle w:val="DDLHeading1"/>
        <w:rPr>
          <w:rFonts w:cs="Arial"/>
          <w:color w:val="000000" w:themeColor="text1"/>
          <w:sz w:val="20"/>
          <w:szCs w:val="20"/>
          <w:lang w:val="en-US"/>
        </w:rPr>
      </w:pPr>
      <w:r w:rsidRPr="009E1CED">
        <w:rPr>
          <w:rFonts w:cs="Arial"/>
          <w:color w:val="000000" w:themeColor="text1"/>
          <w:sz w:val="20"/>
          <w:szCs w:val="20"/>
          <w:lang w:val="en-US"/>
        </w:rPr>
        <w:t>References</w:t>
      </w:r>
    </w:p>
    <w:p w14:paraId="63A5993C" w14:textId="77777777" w:rsidR="003D0EB3" w:rsidRPr="009E1CED" w:rsidRDefault="003D0EB3" w:rsidP="003D0EB3">
      <w:pPr>
        <w:widowControl w:val="0"/>
        <w:autoSpaceDE w:val="0"/>
        <w:autoSpaceDN w:val="0"/>
        <w:adjustRightInd w:val="0"/>
        <w:ind w:left="640" w:hanging="640"/>
        <w:rPr>
          <w:rFonts w:ascii="Arial" w:hAnsi="Arial" w:cs="Arial"/>
          <w:noProof/>
          <w:sz w:val="20"/>
          <w:szCs w:val="20"/>
        </w:rPr>
      </w:pPr>
      <w:r w:rsidRPr="009E1CED">
        <w:rPr>
          <w:rFonts w:ascii="Arial" w:hAnsi="Arial" w:cs="Arial"/>
          <w:sz w:val="20"/>
          <w:szCs w:val="20"/>
          <w:lang w:val="en-US"/>
        </w:rPr>
        <w:fldChar w:fldCharType="begin" w:fldLock="1"/>
      </w:r>
      <w:r w:rsidRPr="009E1CED">
        <w:rPr>
          <w:rFonts w:ascii="Arial" w:hAnsi="Arial" w:cs="Arial"/>
          <w:sz w:val="20"/>
          <w:szCs w:val="20"/>
          <w:lang w:val="en-US"/>
        </w:rPr>
        <w:instrText xml:space="preserve">ADDIN Mendeley Bibliography CSL_BIBLIOGRAPHY </w:instrText>
      </w:r>
      <w:r w:rsidRPr="009E1CED">
        <w:rPr>
          <w:rFonts w:ascii="Arial" w:hAnsi="Arial" w:cs="Arial"/>
          <w:sz w:val="20"/>
          <w:szCs w:val="20"/>
          <w:lang w:val="en-US"/>
        </w:rPr>
        <w:fldChar w:fldCharType="separate"/>
      </w:r>
      <w:r w:rsidRPr="009E1CED">
        <w:rPr>
          <w:rFonts w:ascii="Arial" w:hAnsi="Arial" w:cs="Arial"/>
          <w:noProof/>
          <w:sz w:val="20"/>
          <w:szCs w:val="20"/>
        </w:rPr>
        <w:t>1.</w:t>
      </w:r>
      <w:r w:rsidRPr="009E1CED">
        <w:rPr>
          <w:rFonts w:ascii="Arial" w:hAnsi="Arial" w:cs="Arial"/>
          <w:noProof/>
          <w:sz w:val="20"/>
          <w:szCs w:val="20"/>
        </w:rPr>
        <w:tab/>
        <w:t xml:space="preserve">Alhajj, N., O’Reilly, N. J. &amp; Cathcart, H. Designing enhanced spray dried particles for inhalation: A review of the impact of excipients and processing parameters on particle properties. </w:t>
      </w:r>
      <w:r w:rsidRPr="009E1CED">
        <w:rPr>
          <w:rFonts w:ascii="Arial" w:hAnsi="Arial" w:cs="Arial"/>
          <w:i/>
          <w:iCs/>
          <w:noProof/>
          <w:sz w:val="20"/>
          <w:szCs w:val="20"/>
        </w:rPr>
        <w:t>Powder Technology</w:t>
      </w:r>
      <w:r w:rsidRPr="009E1CED">
        <w:rPr>
          <w:rFonts w:ascii="Arial" w:hAnsi="Arial" w:cs="Arial"/>
          <w:noProof/>
          <w:sz w:val="20"/>
          <w:szCs w:val="20"/>
        </w:rPr>
        <w:t xml:space="preserve"> vol. 384 313–331 (2021).</w:t>
      </w:r>
    </w:p>
    <w:p w14:paraId="62F48E6D" w14:textId="77777777" w:rsidR="003D0EB3" w:rsidRPr="009E1CED" w:rsidRDefault="003D0EB3" w:rsidP="003D0EB3">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2.</w:t>
      </w:r>
      <w:r w:rsidRPr="009E1CED">
        <w:rPr>
          <w:rFonts w:ascii="Arial" w:hAnsi="Arial" w:cs="Arial"/>
          <w:noProof/>
          <w:sz w:val="20"/>
          <w:szCs w:val="20"/>
        </w:rPr>
        <w:tab/>
        <w:t xml:space="preserve">Rajalahti, T. &amp; Kvalheim, O. M. Multivariate data analysis in pharmaceutics: A tutorial review. </w:t>
      </w:r>
      <w:r w:rsidRPr="009E1CED">
        <w:rPr>
          <w:rFonts w:ascii="Arial" w:hAnsi="Arial" w:cs="Arial"/>
          <w:i/>
          <w:iCs/>
          <w:noProof/>
          <w:sz w:val="20"/>
          <w:szCs w:val="20"/>
        </w:rPr>
        <w:t>Int. J. Pharm.</w:t>
      </w:r>
      <w:r w:rsidRPr="009E1CED">
        <w:rPr>
          <w:rFonts w:ascii="Arial" w:hAnsi="Arial" w:cs="Arial"/>
          <w:noProof/>
          <w:sz w:val="20"/>
          <w:szCs w:val="20"/>
        </w:rPr>
        <w:t xml:space="preserve"> </w:t>
      </w:r>
      <w:r w:rsidRPr="009E1CED">
        <w:rPr>
          <w:rFonts w:ascii="Arial" w:hAnsi="Arial" w:cs="Arial"/>
          <w:b/>
          <w:bCs/>
          <w:noProof/>
          <w:sz w:val="20"/>
          <w:szCs w:val="20"/>
        </w:rPr>
        <w:t>417</w:t>
      </w:r>
      <w:r w:rsidRPr="009E1CED">
        <w:rPr>
          <w:rFonts w:ascii="Arial" w:hAnsi="Arial" w:cs="Arial"/>
          <w:noProof/>
          <w:sz w:val="20"/>
          <w:szCs w:val="20"/>
        </w:rPr>
        <w:t>, 280–290 (2011).</w:t>
      </w:r>
    </w:p>
    <w:p w14:paraId="5B08E08F" w14:textId="77777777" w:rsidR="003D0EB3" w:rsidRPr="009E1CED" w:rsidRDefault="003D0EB3" w:rsidP="003D0EB3">
      <w:pPr>
        <w:widowControl w:val="0"/>
        <w:autoSpaceDE w:val="0"/>
        <w:autoSpaceDN w:val="0"/>
        <w:adjustRightInd w:val="0"/>
        <w:ind w:left="640" w:hanging="640"/>
        <w:rPr>
          <w:rFonts w:ascii="Arial" w:hAnsi="Arial" w:cs="Arial"/>
          <w:noProof/>
          <w:sz w:val="20"/>
          <w:szCs w:val="20"/>
        </w:rPr>
      </w:pPr>
      <w:r w:rsidRPr="009E1CED">
        <w:rPr>
          <w:rFonts w:ascii="Arial" w:hAnsi="Arial" w:cs="Arial"/>
          <w:noProof/>
          <w:sz w:val="20"/>
          <w:szCs w:val="20"/>
        </w:rPr>
        <w:t>3.</w:t>
      </w:r>
      <w:r w:rsidRPr="009E1CED">
        <w:rPr>
          <w:rFonts w:ascii="Arial" w:hAnsi="Arial" w:cs="Arial"/>
          <w:noProof/>
          <w:sz w:val="20"/>
          <w:szCs w:val="20"/>
        </w:rPr>
        <w:tab/>
        <w:t xml:space="preserve">Lechanteur, A. &amp; Evrard, B. Influence of Composition and Spray-Drying Process Parameters on Carrier-Free DPI Properties and Behaviors in the Lung: A review. </w:t>
      </w:r>
      <w:r w:rsidRPr="009E1CED">
        <w:rPr>
          <w:rFonts w:ascii="Arial" w:hAnsi="Arial" w:cs="Arial"/>
          <w:i/>
          <w:iCs/>
          <w:noProof/>
          <w:sz w:val="20"/>
          <w:szCs w:val="20"/>
        </w:rPr>
        <w:t xml:space="preserve">Pharmaceutics </w:t>
      </w:r>
      <w:r w:rsidRPr="009E1CED">
        <w:rPr>
          <w:rFonts w:ascii="Arial" w:hAnsi="Arial" w:cs="Arial"/>
          <w:noProof/>
          <w:sz w:val="20"/>
          <w:szCs w:val="20"/>
        </w:rPr>
        <w:t xml:space="preserve"> vol. 12 (2020).</w:t>
      </w:r>
    </w:p>
    <w:p w14:paraId="7E9BBC8A" w14:textId="77777777" w:rsidR="003D0EB3" w:rsidRPr="009E1CED" w:rsidRDefault="003D0EB3" w:rsidP="003D0EB3">
      <w:pPr>
        <w:pStyle w:val="DDLBodyText"/>
        <w:rPr>
          <w:rFonts w:cs="Arial"/>
          <w:sz w:val="20"/>
          <w:lang w:val="en-US"/>
        </w:rPr>
      </w:pPr>
      <w:r w:rsidRPr="009E1CED">
        <w:rPr>
          <w:rFonts w:cs="Arial"/>
          <w:sz w:val="20"/>
          <w:lang w:val="en-US"/>
        </w:rPr>
        <w:fldChar w:fldCharType="end"/>
      </w:r>
    </w:p>
    <w:p w14:paraId="379CFE3B" w14:textId="77777777" w:rsidR="003D0EB3" w:rsidRDefault="003D0EB3" w:rsidP="003D0EB3">
      <w:pPr>
        <w:pStyle w:val="DDLBodyText"/>
        <w:rPr>
          <w:rFonts w:cs="Arial"/>
          <w:sz w:val="20"/>
          <w:lang w:val="en-US"/>
        </w:rPr>
      </w:pPr>
    </w:p>
    <w:p w14:paraId="163B621F" w14:textId="77777777" w:rsidR="009E1CED" w:rsidRDefault="009E1CED" w:rsidP="003D0EB3">
      <w:pPr>
        <w:pStyle w:val="DDLBodyText"/>
        <w:rPr>
          <w:rFonts w:cs="Arial"/>
          <w:sz w:val="20"/>
          <w:lang w:val="en-US"/>
        </w:rPr>
      </w:pPr>
    </w:p>
    <w:p w14:paraId="6C8319B6" w14:textId="77777777" w:rsidR="009E1CED" w:rsidRDefault="009E1CED" w:rsidP="003D0EB3">
      <w:pPr>
        <w:pStyle w:val="DDLBodyText"/>
        <w:rPr>
          <w:rFonts w:cs="Arial"/>
          <w:sz w:val="20"/>
          <w:lang w:val="en-US"/>
        </w:rPr>
      </w:pPr>
    </w:p>
    <w:p w14:paraId="1351CF44" w14:textId="77777777" w:rsidR="009E1CED" w:rsidRDefault="009E1CED" w:rsidP="003D0EB3">
      <w:pPr>
        <w:pStyle w:val="DDLBodyText"/>
        <w:rPr>
          <w:rFonts w:cs="Arial"/>
          <w:sz w:val="20"/>
          <w:lang w:val="en-US"/>
        </w:rPr>
      </w:pPr>
    </w:p>
    <w:p w14:paraId="5E336460" w14:textId="77777777" w:rsidR="009E1CED" w:rsidRDefault="009E1CED" w:rsidP="003D0EB3">
      <w:pPr>
        <w:pStyle w:val="DDLBodyText"/>
        <w:rPr>
          <w:rFonts w:cs="Arial"/>
          <w:sz w:val="20"/>
          <w:lang w:val="en-US"/>
        </w:rPr>
      </w:pPr>
    </w:p>
    <w:p w14:paraId="059DA611" w14:textId="77777777" w:rsidR="009E1CED" w:rsidRDefault="009E1CED" w:rsidP="003D0EB3">
      <w:pPr>
        <w:pStyle w:val="DDLBodyText"/>
        <w:rPr>
          <w:rFonts w:cs="Arial"/>
          <w:sz w:val="20"/>
          <w:lang w:val="en-US"/>
        </w:rPr>
      </w:pPr>
    </w:p>
    <w:p w14:paraId="57932608" w14:textId="77777777" w:rsidR="009E1CED" w:rsidRDefault="009E1CED" w:rsidP="003D0EB3">
      <w:pPr>
        <w:pStyle w:val="DDLBodyText"/>
        <w:rPr>
          <w:rFonts w:cs="Arial"/>
          <w:sz w:val="20"/>
          <w:lang w:val="en-US"/>
        </w:rPr>
      </w:pPr>
    </w:p>
    <w:p w14:paraId="45A5576B" w14:textId="77777777" w:rsidR="009E1CED" w:rsidRDefault="009E1CED" w:rsidP="003D0EB3">
      <w:pPr>
        <w:pStyle w:val="DDLBodyText"/>
        <w:rPr>
          <w:rFonts w:cs="Arial"/>
          <w:sz w:val="20"/>
          <w:lang w:val="en-US"/>
        </w:rPr>
      </w:pPr>
    </w:p>
    <w:p w14:paraId="6915EB94" w14:textId="77777777" w:rsidR="009E1CED" w:rsidRDefault="009E1CED" w:rsidP="003D0EB3">
      <w:pPr>
        <w:pStyle w:val="DDLBodyText"/>
        <w:rPr>
          <w:rFonts w:cs="Arial"/>
          <w:sz w:val="20"/>
          <w:lang w:val="en-US"/>
        </w:rPr>
      </w:pPr>
    </w:p>
    <w:p w14:paraId="31C40127" w14:textId="77777777" w:rsidR="009E1CED" w:rsidRDefault="009E1CED" w:rsidP="003D0EB3">
      <w:pPr>
        <w:pStyle w:val="DDLBodyText"/>
        <w:rPr>
          <w:rFonts w:cs="Arial"/>
          <w:sz w:val="20"/>
          <w:lang w:val="en-US"/>
        </w:rPr>
      </w:pPr>
    </w:p>
    <w:p w14:paraId="3A3C7B8F" w14:textId="77777777" w:rsidR="009E1CED" w:rsidRDefault="009E1CED" w:rsidP="003D0EB3">
      <w:pPr>
        <w:pStyle w:val="DDLBodyText"/>
        <w:rPr>
          <w:rFonts w:cs="Arial"/>
          <w:sz w:val="20"/>
          <w:lang w:val="en-US"/>
        </w:rPr>
      </w:pPr>
    </w:p>
    <w:p w14:paraId="327FF48A" w14:textId="77777777" w:rsidR="009E1CED" w:rsidRDefault="009E1CED" w:rsidP="003D0EB3">
      <w:pPr>
        <w:pStyle w:val="DDLBodyText"/>
        <w:rPr>
          <w:rFonts w:cs="Arial"/>
          <w:sz w:val="20"/>
          <w:lang w:val="en-US"/>
        </w:rPr>
      </w:pPr>
    </w:p>
    <w:p w14:paraId="177B1E5C" w14:textId="77777777" w:rsidR="009E1CED" w:rsidRDefault="009E1CED" w:rsidP="003D0EB3">
      <w:pPr>
        <w:pStyle w:val="DDLBodyText"/>
        <w:rPr>
          <w:rFonts w:cs="Arial"/>
          <w:sz w:val="20"/>
          <w:lang w:val="en-US"/>
        </w:rPr>
      </w:pPr>
    </w:p>
    <w:p w14:paraId="1A8DD1A4" w14:textId="77777777" w:rsidR="009E1CED" w:rsidRDefault="009E1CED" w:rsidP="003D0EB3">
      <w:pPr>
        <w:pStyle w:val="DDLBodyText"/>
        <w:rPr>
          <w:rFonts w:cs="Arial"/>
          <w:sz w:val="20"/>
          <w:lang w:val="en-US"/>
        </w:rPr>
      </w:pPr>
    </w:p>
    <w:p w14:paraId="7DF775AA" w14:textId="77777777" w:rsidR="009E1CED" w:rsidRDefault="009E1CED" w:rsidP="003D0EB3">
      <w:pPr>
        <w:pStyle w:val="DDLBodyText"/>
        <w:rPr>
          <w:rFonts w:cs="Arial"/>
          <w:sz w:val="20"/>
          <w:lang w:val="en-US"/>
        </w:rPr>
      </w:pPr>
    </w:p>
    <w:p w14:paraId="12A7F74A" w14:textId="77777777" w:rsidR="009E1CED" w:rsidRPr="009E1CED" w:rsidRDefault="009E1CED" w:rsidP="003D0EB3">
      <w:pPr>
        <w:pStyle w:val="DDLBodyText"/>
        <w:rPr>
          <w:rFonts w:cs="Arial"/>
          <w:sz w:val="20"/>
          <w:lang w:val="en-US"/>
        </w:rPr>
      </w:pPr>
    </w:p>
    <w:p w14:paraId="2F5B3082" w14:textId="77777777" w:rsidR="00620C55" w:rsidRPr="009E1CED" w:rsidRDefault="00620C55" w:rsidP="001F6FEE">
      <w:pPr>
        <w:jc w:val="both"/>
        <w:rPr>
          <w:rFonts w:ascii="Arial" w:hAnsi="Arial" w:cs="Arial"/>
          <w:b/>
          <w:bCs/>
          <w:sz w:val="20"/>
          <w:szCs w:val="20"/>
        </w:rPr>
      </w:pPr>
    </w:p>
    <w:p w14:paraId="49467C1B" w14:textId="185A00E3" w:rsidR="002A4F5E" w:rsidRPr="009E1CED" w:rsidRDefault="002A4F5E" w:rsidP="001F6FEE">
      <w:pPr>
        <w:jc w:val="both"/>
        <w:rPr>
          <w:rFonts w:ascii="Arial" w:hAnsi="Arial" w:cs="Arial"/>
          <w:b/>
          <w:bCs/>
          <w:sz w:val="20"/>
          <w:szCs w:val="20"/>
        </w:rPr>
      </w:pPr>
      <w:r w:rsidRPr="009E1CED">
        <w:rPr>
          <w:rFonts w:ascii="Arial" w:hAnsi="Arial" w:cs="Arial"/>
          <w:b/>
          <w:bCs/>
          <w:sz w:val="20"/>
          <w:szCs w:val="20"/>
        </w:rPr>
        <w:lastRenderedPageBreak/>
        <w:t>What Will Guide You? Choosing The Correct Inhaler (Oral Presentation)</w:t>
      </w:r>
    </w:p>
    <w:p w14:paraId="31A137EF" w14:textId="77777777" w:rsidR="002A4F5E" w:rsidRPr="009E1CED" w:rsidRDefault="002A4F5E" w:rsidP="001F6FEE">
      <w:pPr>
        <w:jc w:val="both"/>
        <w:rPr>
          <w:rFonts w:ascii="Arial" w:hAnsi="Arial" w:cs="Arial"/>
          <w:sz w:val="20"/>
          <w:szCs w:val="20"/>
          <w:lang w:val="en-US"/>
        </w:rPr>
      </w:pPr>
      <w:r w:rsidRPr="009E1CED">
        <w:rPr>
          <w:rFonts w:ascii="Arial" w:hAnsi="Arial" w:cs="Arial"/>
          <w:sz w:val="20"/>
          <w:szCs w:val="20"/>
          <w:lang w:val="en-US"/>
        </w:rPr>
        <w:t>Dr. Philippe Rogueda</w:t>
      </w:r>
    </w:p>
    <w:p w14:paraId="51A92CA6" w14:textId="351B8CA5" w:rsidR="002A4F5E" w:rsidRPr="009E1CED" w:rsidRDefault="002A4F5E" w:rsidP="001F6FEE">
      <w:pPr>
        <w:jc w:val="both"/>
        <w:rPr>
          <w:rFonts w:ascii="Arial" w:hAnsi="Arial" w:cs="Arial"/>
          <w:i/>
          <w:iCs/>
          <w:sz w:val="20"/>
          <w:szCs w:val="20"/>
          <w:lang w:val="en-US"/>
        </w:rPr>
      </w:pPr>
      <w:r w:rsidRPr="009E1CED">
        <w:rPr>
          <w:rFonts w:ascii="Arial" w:hAnsi="Arial" w:cs="Arial"/>
          <w:i/>
          <w:iCs/>
          <w:sz w:val="20"/>
          <w:szCs w:val="20"/>
          <w:lang w:val="en-US"/>
        </w:rPr>
        <w:t>Merxin Ltd., UK</w:t>
      </w:r>
    </w:p>
    <w:p w14:paraId="3B8E3092" w14:textId="6C200E52" w:rsidR="00BB6A5E" w:rsidRPr="009E1CED" w:rsidRDefault="00BB6A5E" w:rsidP="001F6FEE">
      <w:pPr>
        <w:jc w:val="both"/>
        <w:rPr>
          <w:rFonts w:ascii="Arial" w:hAnsi="Arial" w:cs="Arial"/>
          <w:b/>
          <w:bCs/>
          <w:sz w:val="20"/>
          <w:szCs w:val="20"/>
        </w:rPr>
      </w:pPr>
      <w:r w:rsidRPr="009E1CED">
        <w:rPr>
          <w:rFonts w:ascii="Arial" w:hAnsi="Arial" w:cs="Arial"/>
          <w:b/>
          <w:bCs/>
          <w:sz w:val="20"/>
          <w:szCs w:val="20"/>
        </w:rPr>
        <w:t>Abstract</w:t>
      </w:r>
    </w:p>
    <w:p w14:paraId="3013F7A5"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How do you choose an inhaler device? There are so many choices, how will you choose?</w:t>
      </w:r>
    </w:p>
    <w:p w14:paraId="091034A2"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There are many dimensions to choosing a device and many devices to choose from. We like to think that devices are chosen from objective data: performance (i.e. fine particle fraction). In reality the choice of a device has not so much to do with performance as a company historical choices.</w:t>
      </w:r>
    </w:p>
    <w:p w14:paraId="4DBFED76"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Nebulisers are sold off the shelf and standardised. pMDIs are commoditised, like nasal devices, this is the domain of the pick and match: can, valve, actuator, counter, pump. DPIs are more bespoke with a noted enthusiasm for new moelcules for capsule DPIs, despite the fact that blockbuster DPIs are multidose DPIs. SMis are only just becoming available widely and are changing the inhaler market.</w:t>
      </w:r>
    </w:p>
    <w:p w14:paraId="5705B410"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 xml:space="preserve">Trends can be noted between companies: AstraZeneca is committed to DPIs; GSK has a legacy of pMDI products but derives the bulk of the revenue of its inhalation franchise from an multidose DPI; Chiesi is investing in new HFA pMDIs; while Pfizer evaluates SMIs. </w:t>
      </w:r>
    </w:p>
    <w:p w14:paraId="10D9AEBE"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The dimensions of a device choice include:</w:t>
      </w:r>
    </w:p>
    <w:p w14:paraId="0A117C34"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company’s previous choices</w:t>
      </w:r>
    </w:p>
    <w:p w14:paraId="5BD68DD0"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company’s risk profile</w:t>
      </w:r>
    </w:p>
    <w:p w14:paraId="510B43DF"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usability and acceptability of the device</w:t>
      </w:r>
    </w:p>
    <w:p w14:paraId="38379DA6"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I.P. protection</w:t>
      </w:r>
    </w:p>
    <w:p w14:paraId="48A7C8C3"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availability</w:t>
      </w:r>
    </w:p>
    <w:p w14:paraId="67CDCA69"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target therapy</w:t>
      </w:r>
    </w:p>
    <w:p w14:paraId="5CDB1BB9"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formulation</w:t>
      </w:r>
    </w:p>
    <w:p w14:paraId="5CC37287" w14:textId="77777777" w:rsidR="002A4F5E" w:rsidRPr="009E1CED" w:rsidRDefault="002A4F5E" w:rsidP="001F6FEE">
      <w:pPr>
        <w:pStyle w:val="ListParagraph"/>
        <w:numPr>
          <w:ilvl w:val="0"/>
          <w:numId w:val="1"/>
        </w:numPr>
        <w:jc w:val="both"/>
        <w:rPr>
          <w:rFonts w:ascii="Arial" w:hAnsi="Arial" w:cs="Arial"/>
          <w:sz w:val="20"/>
          <w:szCs w:val="20"/>
        </w:rPr>
      </w:pPr>
      <w:r w:rsidRPr="009E1CED">
        <w:rPr>
          <w:rFonts w:ascii="Arial" w:hAnsi="Arial" w:cs="Arial"/>
          <w:sz w:val="20"/>
          <w:szCs w:val="20"/>
        </w:rPr>
        <w:t xml:space="preserve">performance </w:t>
      </w:r>
    </w:p>
    <w:p w14:paraId="510D9B94"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 xml:space="preserve">The device that will be retained in a development program will be a fine balance between these dimensions and will be a compromise between the project stakeholders; scientists, engineers, lawyers, clinicians, marketing, finance, company board, regulators. Performance will rarely be the driving factor. Seemingly choices are driven by familiarity and historical choices. </w:t>
      </w:r>
    </w:p>
    <w:p w14:paraId="1216643F" w14:textId="77777777" w:rsidR="002A4F5E" w:rsidRPr="009E1CED" w:rsidRDefault="002A4F5E" w:rsidP="001F6FEE">
      <w:pPr>
        <w:jc w:val="both"/>
        <w:rPr>
          <w:rFonts w:ascii="Arial" w:hAnsi="Arial" w:cs="Arial"/>
          <w:sz w:val="20"/>
          <w:szCs w:val="20"/>
        </w:rPr>
      </w:pPr>
      <w:r w:rsidRPr="009E1CED">
        <w:rPr>
          <w:rFonts w:ascii="Arial" w:hAnsi="Arial" w:cs="Arial"/>
          <w:sz w:val="20"/>
          <w:szCs w:val="20"/>
        </w:rPr>
        <w:t>Many devices have been developed over the last 50 years, most of them have never been taken beyond the design stage. Let’s explore why.</w:t>
      </w:r>
    </w:p>
    <w:p w14:paraId="00107273" w14:textId="32F8034B" w:rsidR="002A4F5E" w:rsidRPr="009E1CED" w:rsidRDefault="002A4F5E" w:rsidP="001F6FEE">
      <w:pPr>
        <w:jc w:val="both"/>
        <w:rPr>
          <w:rFonts w:ascii="Arial" w:hAnsi="Arial" w:cs="Arial"/>
          <w:sz w:val="20"/>
          <w:szCs w:val="20"/>
        </w:rPr>
      </w:pPr>
      <w:r w:rsidRPr="009E1CED">
        <w:rPr>
          <w:rFonts w:ascii="Arial" w:hAnsi="Arial" w:cs="Arial"/>
          <w:sz w:val="20"/>
          <w:szCs w:val="20"/>
        </w:rPr>
        <w:t xml:space="preserve">Merxin has decades of experience in designing, developing, testing, manufacturing, and supplying inhaler therapies and devices. Experience shows us that the best device choices are made when bearing in mind the end therapy: the one to be commercialised with specific purpose. This means providing the best device for patients and practitioners. That is why we make devices inspired by the world DPI and SMI blockbusters. Check out our devices at </w:t>
      </w:r>
      <w:hyperlink r:id="rId20" w:history="1">
        <w:r w:rsidRPr="009E1CED">
          <w:rPr>
            <w:rStyle w:val="Hyperlink"/>
            <w:rFonts w:ascii="Arial" w:hAnsi="Arial" w:cs="Arial"/>
            <w:sz w:val="20"/>
            <w:szCs w:val="20"/>
          </w:rPr>
          <w:t>www.merxin.com</w:t>
        </w:r>
      </w:hyperlink>
      <w:r w:rsidRPr="009E1CED">
        <w:rPr>
          <w:rFonts w:ascii="Arial" w:hAnsi="Arial" w:cs="Arial"/>
          <w:sz w:val="20"/>
          <w:szCs w:val="20"/>
        </w:rPr>
        <w:t>.</w:t>
      </w:r>
    </w:p>
    <w:p w14:paraId="47D82109" w14:textId="77777777" w:rsidR="002A4F5E" w:rsidRPr="009E1CED" w:rsidRDefault="002A4F5E" w:rsidP="001F6FEE">
      <w:pPr>
        <w:jc w:val="both"/>
        <w:rPr>
          <w:rFonts w:ascii="Arial" w:hAnsi="Arial" w:cs="Arial"/>
          <w:sz w:val="20"/>
          <w:szCs w:val="20"/>
        </w:rPr>
      </w:pPr>
    </w:p>
    <w:p w14:paraId="5F8E11CC" w14:textId="77777777" w:rsidR="002A4F5E" w:rsidRPr="009E1CED" w:rsidRDefault="002A4F5E" w:rsidP="001F6FEE">
      <w:pPr>
        <w:jc w:val="both"/>
        <w:rPr>
          <w:rFonts w:ascii="Arial" w:hAnsi="Arial" w:cs="Arial"/>
          <w:sz w:val="20"/>
          <w:szCs w:val="20"/>
        </w:rPr>
      </w:pPr>
    </w:p>
    <w:p w14:paraId="040E32A9" w14:textId="77777777" w:rsidR="002A4F5E" w:rsidRPr="009E1CED" w:rsidRDefault="002A4F5E" w:rsidP="001F6FEE">
      <w:pPr>
        <w:jc w:val="both"/>
        <w:rPr>
          <w:rFonts w:ascii="Arial" w:hAnsi="Arial" w:cs="Arial"/>
          <w:sz w:val="20"/>
          <w:szCs w:val="20"/>
        </w:rPr>
      </w:pPr>
    </w:p>
    <w:p w14:paraId="14733260" w14:textId="77777777" w:rsidR="002A4F5E" w:rsidRPr="009E1CED" w:rsidRDefault="002A4F5E" w:rsidP="001F6FEE">
      <w:pPr>
        <w:jc w:val="both"/>
        <w:rPr>
          <w:rFonts w:ascii="Arial" w:hAnsi="Arial" w:cs="Arial"/>
          <w:sz w:val="20"/>
          <w:szCs w:val="20"/>
        </w:rPr>
      </w:pPr>
    </w:p>
    <w:p w14:paraId="65AD9F08" w14:textId="77777777" w:rsidR="002A4F5E" w:rsidRPr="009E1CED" w:rsidRDefault="002A4F5E" w:rsidP="001F6FEE">
      <w:pPr>
        <w:jc w:val="both"/>
        <w:rPr>
          <w:rFonts w:ascii="Arial" w:hAnsi="Arial" w:cs="Arial"/>
          <w:sz w:val="20"/>
          <w:szCs w:val="20"/>
        </w:rPr>
      </w:pPr>
    </w:p>
    <w:p w14:paraId="471A74B8" w14:textId="3D627C1F" w:rsidR="002A4F5E" w:rsidRPr="009E1CED" w:rsidRDefault="002A4F5E" w:rsidP="001F6FEE">
      <w:pPr>
        <w:widowControl w:val="0"/>
        <w:autoSpaceDE w:val="0"/>
        <w:autoSpaceDN w:val="0"/>
        <w:adjustRightInd w:val="0"/>
        <w:spacing w:after="240"/>
        <w:jc w:val="both"/>
        <w:rPr>
          <w:rFonts w:ascii="Arial" w:hAnsi="Arial" w:cs="Arial"/>
          <w:b/>
          <w:bCs/>
          <w:sz w:val="20"/>
          <w:szCs w:val="20"/>
          <w:lang w:val="tr-TR"/>
        </w:rPr>
      </w:pPr>
      <w:r w:rsidRPr="009E1CED">
        <w:rPr>
          <w:rFonts w:ascii="Arial" w:hAnsi="Arial" w:cs="Arial"/>
          <w:b/>
          <w:bCs/>
          <w:sz w:val="20"/>
          <w:szCs w:val="20"/>
          <w:lang w:val="x-none"/>
        </w:rPr>
        <w:t>Regulation of The Pulmonary Homeostasis</w:t>
      </w:r>
      <w:r w:rsidR="00BB6A5E" w:rsidRPr="009E1CED">
        <w:rPr>
          <w:rFonts w:ascii="Arial" w:hAnsi="Arial" w:cs="Arial"/>
          <w:b/>
          <w:bCs/>
          <w:sz w:val="20"/>
          <w:szCs w:val="20"/>
          <w:lang w:val="tr-TR"/>
        </w:rPr>
        <w:t xml:space="preserve"> </w:t>
      </w:r>
      <w:r w:rsidR="00BB6A5E" w:rsidRPr="009E1CED">
        <w:rPr>
          <w:rFonts w:ascii="Arial" w:hAnsi="Arial" w:cs="Arial"/>
          <w:b/>
          <w:bCs/>
          <w:sz w:val="20"/>
          <w:szCs w:val="20"/>
        </w:rPr>
        <w:t>(Oral Presentation)</w:t>
      </w:r>
    </w:p>
    <w:p w14:paraId="5CFC96E6" w14:textId="77777777" w:rsidR="002A4F5E" w:rsidRPr="009E1CED" w:rsidRDefault="002A4F5E" w:rsidP="001F6FEE">
      <w:pPr>
        <w:widowControl w:val="0"/>
        <w:autoSpaceDE w:val="0"/>
        <w:autoSpaceDN w:val="0"/>
        <w:adjustRightInd w:val="0"/>
        <w:spacing w:after="240"/>
        <w:jc w:val="both"/>
        <w:rPr>
          <w:rFonts w:ascii="Arial" w:hAnsi="Arial" w:cs="Arial"/>
          <w:sz w:val="20"/>
          <w:szCs w:val="20"/>
          <w:lang w:val="x-none"/>
        </w:rPr>
      </w:pPr>
      <w:r w:rsidRPr="009E1CED">
        <w:rPr>
          <w:rFonts w:ascii="Arial" w:hAnsi="Arial" w:cs="Arial"/>
          <w:sz w:val="20"/>
          <w:szCs w:val="20"/>
          <w:lang w:val="x-none"/>
        </w:rPr>
        <w:t>Berrak C. Yegen, MD</w:t>
      </w:r>
    </w:p>
    <w:p w14:paraId="6135F083" w14:textId="77777777" w:rsidR="002A4F5E" w:rsidRPr="009E1CED" w:rsidRDefault="002A4F5E" w:rsidP="001F6FEE">
      <w:pPr>
        <w:widowControl w:val="0"/>
        <w:autoSpaceDE w:val="0"/>
        <w:autoSpaceDN w:val="0"/>
        <w:adjustRightInd w:val="0"/>
        <w:spacing w:after="240"/>
        <w:jc w:val="both"/>
        <w:rPr>
          <w:rFonts w:ascii="Arial" w:hAnsi="Arial" w:cs="Arial"/>
          <w:i/>
          <w:iCs/>
          <w:sz w:val="20"/>
          <w:szCs w:val="20"/>
          <w:lang w:val="x-none"/>
        </w:rPr>
      </w:pPr>
      <w:r w:rsidRPr="009E1CED">
        <w:rPr>
          <w:rFonts w:ascii="Arial" w:hAnsi="Arial" w:cs="Arial"/>
          <w:i/>
          <w:iCs/>
          <w:sz w:val="20"/>
          <w:szCs w:val="20"/>
          <w:lang w:val="x-none"/>
        </w:rPr>
        <w:lastRenderedPageBreak/>
        <w:t>Professor of Physiology, Marmara University School of Medicine, Istanbul, Türkiye.</w:t>
      </w:r>
    </w:p>
    <w:p w14:paraId="2CEB9AA2" w14:textId="1151F8AE"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6D58AE33" w14:textId="77777777" w:rsidR="002A4F5E" w:rsidRPr="009E1CED" w:rsidRDefault="002A4F5E" w:rsidP="001F6FEE">
      <w:pPr>
        <w:widowControl w:val="0"/>
        <w:autoSpaceDE w:val="0"/>
        <w:autoSpaceDN w:val="0"/>
        <w:adjustRightInd w:val="0"/>
        <w:spacing w:after="240" w:line="300" w:lineRule="atLeast"/>
        <w:jc w:val="both"/>
        <w:rPr>
          <w:rFonts w:ascii="Arial" w:hAnsi="Arial" w:cs="Arial"/>
          <w:color w:val="000000"/>
          <w:sz w:val="20"/>
          <w:szCs w:val="20"/>
        </w:rPr>
      </w:pPr>
      <w:r w:rsidRPr="009E1CED">
        <w:rPr>
          <w:rFonts w:ascii="Arial" w:hAnsi="Arial" w:cs="Arial"/>
          <w:sz w:val="20"/>
          <w:szCs w:val="20"/>
        </w:rPr>
        <w:t xml:space="preserve">The respiratory tract is equipped with approximately 40 different cell types in different morphology and function. Alveolar epithelial type I (AT-I), type II (AT-II) cells and alveolar macrophages make up the major cellular population, which include the Clara cells that give rise to AT-II cells during alveolar epithelial repair. Non-cellular elements (surfactant and mucus) minimize surface tension and provide a physical barrier to defend against bacteria, virus, allergens and other noxious substances. An intact barrier is ensured by tight junctions (mainly claudin-3, claudin-4, and claudin-18), various pumps and channels and pulmonary microcirculation. Claudin-18 is the only known lung-specific tight junction protein with diverse and complex roles in regulation and differentiation of alveolar epithelium.  The local immune system of lung includes lactoferrins, lysozyme, surfactant proteins, mannose binding lectin, defensins, alveolar macrophages and dendritic cells. In the presence of an infection, the dendritic cells in the lung present pathogen-derived antigens to naive T cells in the lymphoid tissues and lead to T-cell clonal expansion and differentiation. Mast cells, which have been identified in fibrotic tissue, play a role in chronic lung inflammation and pulmonary fibrosis via the upregulation of pro-fibrotic molecules (e.g. transforming growth factor beta, matrix metalloproteinase, cytokines, etc.). On the other hand, </w:t>
      </w:r>
      <w:r w:rsidRPr="009E1CED">
        <w:rPr>
          <w:rFonts w:ascii="Arial" w:hAnsi="Arial" w:cs="Arial"/>
          <w:bCs/>
          <w:color w:val="000000"/>
          <w:sz w:val="20"/>
          <w:szCs w:val="20"/>
        </w:rPr>
        <w:t>the</w:t>
      </w:r>
      <w:r w:rsidRPr="009E1CED">
        <w:rPr>
          <w:rFonts w:ascii="Arial" w:hAnsi="Arial" w:cs="Arial"/>
          <w:color w:val="000000"/>
          <w:sz w:val="20"/>
          <w:szCs w:val="20"/>
        </w:rPr>
        <w:t xml:space="preserve"> lung microbiome composition has critical implications in the regulation of innate and adaptive immune responses. </w:t>
      </w:r>
      <w:r w:rsidRPr="009E1CED">
        <w:rPr>
          <w:rFonts w:ascii="Arial" w:hAnsi="Arial" w:cs="Arial"/>
          <w:sz w:val="20"/>
          <w:szCs w:val="20"/>
        </w:rPr>
        <w:t xml:space="preserve">Therefore, development of particles that could efficiently penetrate the mucus barrier without compromising the barrier function or physiological immune responses is the target strategies in improving pulmonary drug delivery. </w:t>
      </w:r>
    </w:p>
    <w:p w14:paraId="7E1FC7D8" w14:textId="77777777" w:rsidR="002A4F5E" w:rsidRPr="009E1CED" w:rsidRDefault="002A4F5E" w:rsidP="001F6FEE">
      <w:pPr>
        <w:jc w:val="both"/>
        <w:rPr>
          <w:rFonts w:ascii="Arial" w:hAnsi="Arial" w:cs="Arial"/>
          <w:sz w:val="20"/>
          <w:szCs w:val="20"/>
        </w:rPr>
      </w:pPr>
    </w:p>
    <w:p w14:paraId="2442AA46" w14:textId="77777777" w:rsidR="002A4F5E" w:rsidRPr="009E1CED" w:rsidRDefault="002A4F5E" w:rsidP="001F6FEE">
      <w:pPr>
        <w:pStyle w:val="ListParagraph"/>
        <w:widowControl w:val="0"/>
        <w:numPr>
          <w:ilvl w:val="0"/>
          <w:numId w:val="2"/>
        </w:numPr>
        <w:autoSpaceDE w:val="0"/>
        <w:autoSpaceDN w:val="0"/>
        <w:adjustRightInd w:val="0"/>
        <w:spacing w:after="0" w:line="260" w:lineRule="atLeast"/>
        <w:jc w:val="both"/>
        <w:rPr>
          <w:rFonts w:ascii="Arial" w:hAnsi="Arial" w:cs="Arial"/>
          <w:color w:val="000000"/>
          <w:sz w:val="20"/>
          <w:szCs w:val="20"/>
        </w:rPr>
      </w:pPr>
      <w:r w:rsidRPr="009E1CED">
        <w:rPr>
          <w:rFonts w:ascii="Arial" w:hAnsi="Arial" w:cs="Arial"/>
          <w:bCs/>
          <w:color w:val="000000"/>
          <w:sz w:val="20"/>
          <w:szCs w:val="20"/>
        </w:rPr>
        <w:t xml:space="preserve">Bartoszewski R, Matalon S, Collawn JF. </w:t>
      </w:r>
      <w:r w:rsidRPr="009E1CED">
        <w:rPr>
          <w:rFonts w:ascii="Arial" w:hAnsi="Arial" w:cs="Arial"/>
          <w:color w:val="000000"/>
          <w:sz w:val="20"/>
          <w:szCs w:val="20"/>
        </w:rPr>
        <w:t xml:space="preserve">Ion channels of the lung and their role in disease pathogenesis. </w:t>
      </w:r>
      <w:r w:rsidRPr="009E1CED">
        <w:rPr>
          <w:rFonts w:ascii="Arial" w:hAnsi="Arial" w:cs="Arial"/>
          <w:iCs/>
          <w:color w:val="000000"/>
          <w:sz w:val="20"/>
          <w:szCs w:val="20"/>
        </w:rPr>
        <w:t xml:space="preserve">Am J Physiol Lung Cell Mol Physiol </w:t>
      </w:r>
      <w:r w:rsidRPr="009E1CED">
        <w:rPr>
          <w:rFonts w:ascii="Arial" w:hAnsi="Arial" w:cs="Arial"/>
          <w:color w:val="000000"/>
          <w:sz w:val="20"/>
          <w:szCs w:val="20"/>
        </w:rPr>
        <w:t xml:space="preserve">313: L859 –L872, 2017. </w:t>
      </w:r>
    </w:p>
    <w:p w14:paraId="2C8AFC33" w14:textId="77777777" w:rsidR="002A4F5E" w:rsidRPr="009E1CED" w:rsidRDefault="002A4F5E" w:rsidP="001F6FEE">
      <w:pPr>
        <w:pStyle w:val="ListParagraph"/>
        <w:widowControl w:val="0"/>
        <w:numPr>
          <w:ilvl w:val="0"/>
          <w:numId w:val="2"/>
        </w:numPr>
        <w:autoSpaceDE w:val="0"/>
        <w:autoSpaceDN w:val="0"/>
        <w:adjustRightInd w:val="0"/>
        <w:spacing w:after="0" w:line="180" w:lineRule="atLeast"/>
        <w:jc w:val="both"/>
        <w:rPr>
          <w:rFonts w:ascii="Arial" w:hAnsi="Arial" w:cs="Arial"/>
          <w:bCs/>
          <w:color w:val="000000"/>
          <w:sz w:val="20"/>
          <w:szCs w:val="20"/>
        </w:rPr>
      </w:pPr>
      <w:r w:rsidRPr="009E1CED">
        <w:rPr>
          <w:rFonts w:ascii="Arial" w:hAnsi="Arial" w:cs="Arial"/>
          <w:color w:val="000000"/>
          <w:sz w:val="20"/>
          <w:szCs w:val="20"/>
        </w:rPr>
        <w:t xml:space="preserve">Brunner J. </w:t>
      </w:r>
      <w:r w:rsidRPr="009E1CED">
        <w:rPr>
          <w:rFonts w:ascii="Arial" w:hAnsi="Arial" w:cs="Arial"/>
          <w:bCs/>
          <w:color w:val="000000"/>
          <w:sz w:val="20"/>
          <w:szCs w:val="20"/>
        </w:rPr>
        <w:t xml:space="preserve">Target specific tight junction modulators. </w:t>
      </w:r>
      <w:r w:rsidRPr="009E1CED">
        <w:rPr>
          <w:rFonts w:ascii="Arial" w:hAnsi="Arial" w:cs="Arial"/>
          <w:color w:val="000000"/>
          <w:sz w:val="20"/>
          <w:szCs w:val="20"/>
        </w:rPr>
        <w:t xml:space="preserve">Advanced Drug Delivery Reviews 171 (2021) 266–288. </w:t>
      </w:r>
    </w:p>
    <w:p w14:paraId="6AF9EFEA"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rPr>
        <w:t xml:space="preserve">Confalonieri, P et al. Regeneration or Repair? The Role of Alveolar Epithelial Cells in the Pathogenesis of Idiopathic Pulmonary Fibrosis (IPF). </w:t>
      </w:r>
      <w:r w:rsidRPr="009E1CED">
        <w:rPr>
          <w:rFonts w:ascii="Arial" w:hAnsi="Arial" w:cs="Arial"/>
          <w:iCs/>
          <w:color w:val="000000"/>
          <w:sz w:val="20"/>
          <w:szCs w:val="20"/>
        </w:rPr>
        <w:t xml:space="preserve">Cells </w:t>
      </w:r>
      <w:r w:rsidRPr="009E1CED">
        <w:rPr>
          <w:rFonts w:ascii="Arial" w:hAnsi="Arial" w:cs="Arial"/>
          <w:bCs/>
          <w:color w:val="000000"/>
          <w:sz w:val="20"/>
          <w:szCs w:val="20"/>
        </w:rPr>
        <w:t>2022</w:t>
      </w:r>
      <w:r w:rsidRPr="009E1CED">
        <w:rPr>
          <w:rFonts w:ascii="Arial" w:hAnsi="Arial" w:cs="Arial"/>
          <w:color w:val="000000"/>
          <w:sz w:val="20"/>
          <w:szCs w:val="20"/>
        </w:rPr>
        <w:t xml:space="preserve">, </w:t>
      </w:r>
      <w:r w:rsidRPr="009E1CED">
        <w:rPr>
          <w:rFonts w:ascii="Arial" w:hAnsi="Arial" w:cs="Arial"/>
          <w:iCs/>
          <w:color w:val="000000"/>
          <w:sz w:val="20"/>
          <w:szCs w:val="20"/>
        </w:rPr>
        <w:t>11</w:t>
      </w:r>
      <w:r w:rsidRPr="009E1CED">
        <w:rPr>
          <w:rFonts w:ascii="Arial" w:hAnsi="Arial" w:cs="Arial"/>
          <w:color w:val="000000"/>
          <w:sz w:val="20"/>
          <w:szCs w:val="20"/>
        </w:rPr>
        <w:t xml:space="preserve">,2095. </w:t>
      </w:r>
    </w:p>
    <w:p w14:paraId="1175D77A"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bCs/>
          <w:color w:val="000000"/>
          <w:sz w:val="20"/>
          <w:szCs w:val="20"/>
        </w:rPr>
        <w:t xml:space="preserve">Dickson RP et al. </w:t>
      </w:r>
      <w:r w:rsidRPr="009E1CED">
        <w:rPr>
          <w:rFonts w:ascii="Arial" w:hAnsi="Arial" w:cs="Arial"/>
          <w:color w:val="000000"/>
          <w:sz w:val="20"/>
          <w:szCs w:val="20"/>
        </w:rPr>
        <w:t xml:space="preserve">Homeostasis and its disruption in the lung microbiome. </w:t>
      </w:r>
      <w:r w:rsidRPr="009E1CED">
        <w:rPr>
          <w:rFonts w:ascii="Arial" w:hAnsi="Arial" w:cs="Arial"/>
          <w:iCs/>
          <w:color w:val="000000"/>
          <w:sz w:val="20"/>
          <w:szCs w:val="20"/>
        </w:rPr>
        <w:t xml:space="preserve">Am J Physiol Lung Cell Mol Physiol </w:t>
      </w:r>
      <w:r w:rsidRPr="009E1CED">
        <w:rPr>
          <w:rFonts w:ascii="Arial" w:hAnsi="Arial" w:cs="Arial"/>
          <w:color w:val="000000"/>
          <w:sz w:val="20"/>
          <w:szCs w:val="20"/>
        </w:rPr>
        <w:t xml:space="preserve">309: L1047–L1055, 2015. </w:t>
      </w:r>
    </w:p>
    <w:p w14:paraId="70D81359"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rPr>
        <w:t xml:space="preserve">Guillot L. et al. The International Journal of Biochemistry &amp; Cell Biology </w:t>
      </w:r>
      <w:r w:rsidRPr="009E1CED">
        <w:rPr>
          <w:rFonts w:ascii="Arial" w:hAnsi="Arial" w:cs="Arial"/>
          <w:iCs/>
          <w:color w:val="000000"/>
          <w:sz w:val="20"/>
          <w:szCs w:val="20"/>
        </w:rPr>
        <w:t xml:space="preserve">45 (2013) 2568–2573 </w:t>
      </w:r>
    </w:p>
    <w:p w14:paraId="2C6B27BB"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bCs/>
          <w:color w:val="000000"/>
          <w:sz w:val="20"/>
          <w:szCs w:val="20"/>
          <w:lang w:val="fr-FR"/>
        </w:rPr>
        <w:t>Lira-Lucio</w:t>
      </w:r>
      <w:r w:rsidRPr="009E1CED">
        <w:rPr>
          <w:rFonts w:ascii="MS Gothic" w:eastAsia="MS Gothic" w:hAnsi="MS Gothic" w:cs="MS Gothic" w:hint="eastAsia"/>
          <w:bCs/>
          <w:color w:val="000000"/>
          <w:sz w:val="20"/>
          <w:szCs w:val="20"/>
          <w:lang w:val="fr-FR"/>
        </w:rPr>
        <w:t> </w:t>
      </w:r>
      <w:r w:rsidRPr="009E1CED">
        <w:rPr>
          <w:rFonts w:ascii="Arial" w:hAnsi="Arial" w:cs="Arial"/>
          <w:color w:val="000000"/>
          <w:sz w:val="20"/>
          <w:szCs w:val="20"/>
          <w:lang w:val="fr-FR"/>
        </w:rPr>
        <w:t>JA et al.</w:t>
      </w:r>
      <w:r w:rsidRPr="009E1CED">
        <w:rPr>
          <w:rFonts w:ascii="Arial" w:hAnsi="Arial" w:cs="Arial"/>
          <w:bCs/>
          <w:iCs/>
          <w:color w:val="000000"/>
          <w:sz w:val="20"/>
          <w:szCs w:val="20"/>
          <w:lang w:val="fr-FR"/>
        </w:rPr>
        <w:t xml:space="preserve"> </w:t>
      </w:r>
      <w:r w:rsidRPr="009E1CED">
        <w:rPr>
          <w:rFonts w:ascii="Arial" w:hAnsi="Arial" w:cs="Arial"/>
          <w:bCs/>
          <w:iCs/>
          <w:color w:val="000000"/>
          <w:sz w:val="20"/>
          <w:szCs w:val="20"/>
        </w:rPr>
        <w:t xml:space="preserve">Lung Microbiome Participation in Local Immune Response Regulation in Respiratory Diseases. </w:t>
      </w:r>
      <w:r w:rsidRPr="009E1CED">
        <w:rPr>
          <w:rFonts w:ascii="Arial" w:hAnsi="Arial" w:cs="Arial"/>
          <w:iCs/>
          <w:color w:val="000000"/>
          <w:sz w:val="20"/>
          <w:szCs w:val="20"/>
        </w:rPr>
        <w:t xml:space="preserve">Microorganisms </w:t>
      </w:r>
      <w:r w:rsidRPr="009E1CED">
        <w:rPr>
          <w:rFonts w:ascii="Arial" w:hAnsi="Arial" w:cs="Arial"/>
          <w:bCs/>
          <w:color w:val="000000"/>
          <w:sz w:val="20"/>
          <w:szCs w:val="20"/>
        </w:rPr>
        <w:t>2020</w:t>
      </w:r>
      <w:r w:rsidRPr="009E1CED">
        <w:rPr>
          <w:rFonts w:ascii="Arial" w:hAnsi="Arial" w:cs="Arial"/>
          <w:color w:val="000000"/>
          <w:sz w:val="20"/>
          <w:szCs w:val="20"/>
        </w:rPr>
        <w:t xml:space="preserve">, </w:t>
      </w:r>
      <w:r w:rsidRPr="009E1CED">
        <w:rPr>
          <w:rFonts w:ascii="Arial" w:hAnsi="Arial" w:cs="Arial"/>
          <w:iCs/>
          <w:color w:val="000000"/>
          <w:sz w:val="20"/>
          <w:szCs w:val="20"/>
        </w:rPr>
        <w:t>8</w:t>
      </w:r>
      <w:r w:rsidRPr="009E1CED">
        <w:rPr>
          <w:rFonts w:ascii="Arial" w:hAnsi="Arial" w:cs="Arial"/>
          <w:color w:val="000000"/>
          <w:sz w:val="20"/>
          <w:szCs w:val="20"/>
        </w:rPr>
        <w:t>, 1059.</w:t>
      </w:r>
    </w:p>
    <w:p w14:paraId="25E00814"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rPr>
        <w:t xml:space="preserve">Mason RJ. </w:t>
      </w:r>
      <w:r w:rsidRPr="009E1CED">
        <w:rPr>
          <w:rFonts w:ascii="Arial" w:hAnsi="Arial" w:cs="Arial"/>
          <w:bCs/>
          <w:color w:val="000000"/>
          <w:sz w:val="20"/>
          <w:szCs w:val="20"/>
        </w:rPr>
        <w:t>Biology of alveolar type II cells</w:t>
      </w:r>
      <w:r w:rsidRPr="009E1CED">
        <w:rPr>
          <w:rFonts w:ascii="MS Gothic" w:eastAsia="MS Gothic" w:hAnsi="MS Gothic" w:cs="MS Gothic" w:hint="eastAsia"/>
          <w:bCs/>
          <w:color w:val="000000"/>
          <w:sz w:val="20"/>
          <w:szCs w:val="20"/>
        </w:rPr>
        <w:t> </w:t>
      </w:r>
      <w:r w:rsidRPr="009E1CED">
        <w:rPr>
          <w:rFonts w:ascii="Arial" w:hAnsi="Arial" w:cs="Arial"/>
          <w:color w:val="000000"/>
          <w:sz w:val="20"/>
          <w:szCs w:val="20"/>
        </w:rPr>
        <w:t xml:space="preserve"> </w:t>
      </w:r>
      <w:r w:rsidRPr="009E1CED">
        <w:rPr>
          <w:rFonts w:ascii="Arial" w:hAnsi="Arial" w:cs="Arial"/>
          <w:iCs/>
          <w:color w:val="000000"/>
          <w:sz w:val="20"/>
          <w:szCs w:val="20"/>
        </w:rPr>
        <w:t xml:space="preserve">Respirology </w:t>
      </w:r>
      <w:r w:rsidRPr="009E1CED">
        <w:rPr>
          <w:rFonts w:ascii="Arial" w:hAnsi="Arial" w:cs="Arial"/>
          <w:color w:val="000000"/>
          <w:sz w:val="20"/>
          <w:szCs w:val="20"/>
        </w:rPr>
        <w:t xml:space="preserve">2006; </w:t>
      </w:r>
      <w:r w:rsidRPr="009E1CED">
        <w:rPr>
          <w:rFonts w:ascii="Arial" w:hAnsi="Arial" w:cs="Arial"/>
          <w:bCs/>
          <w:color w:val="000000"/>
          <w:sz w:val="20"/>
          <w:szCs w:val="20"/>
        </w:rPr>
        <w:t>11</w:t>
      </w:r>
      <w:r w:rsidRPr="009E1CED">
        <w:rPr>
          <w:rFonts w:ascii="Arial" w:hAnsi="Arial" w:cs="Arial"/>
          <w:color w:val="000000"/>
          <w:sz w:val="20"/>
          <w:szCs w:val="20"/>
        </w:rPr>
        <w:t>: S12–S15</w:t>
      </w:r>
      <w:r w:rsidRPr="009E1CED">
        <w:rPr>
          <w:rFonts w:ascii="Arial" w:eastAsia="MS Mincho" w:hAnsi="Arial" w:cs="Arial"/>
          <w:color w:val="000000"/>
          <w:sz w:val="20"/>
          <w:szCs w:val="20"/>
        </w:rPr>
        <w:t>.</w:t>
      </w:r>
    </w:p>
    <w:p w14:paraId="1EA2A442"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bCs/>
          <w:color w:val="000000"/>
          <w:sz w:val="20"/>
          <w:szCs w:val="20"/>
        </w:rPr>
        <w:t xml:space="preserve">McVey MJ et al. </w:t>
      </w:r>
      <w:r w:rsidRPr="009E1CED">
        <w:rPr>
          <w:rFonts w:ascii="Arial" w:hAnsi="Arial" w:cs="Arial"/>
          <w:color w:val="000000"/>
          <w:sz w:val="20"/>
          <w:szCs w:val="20"/>
        </w:rPr>
        <w:t xml:space="preserve">Extracellular vesicles in lung health, disease, and therapy. </w:t>
      </w:r>
      <w:r w:rsidRPr="009E1CED">
        <w:rPr>
          <w:rFonts w:ascii="Arial" w:hAnsi="Arial" w:cs="Arial"/>
          <w:iCs/>
          <w:color w:val="000000"/>
          <w:sz w:val="20"/>
          <w:szCs w:val="20"/>
        </w:rPr>
        <w:t xml:space="preserve">Am J Physiol Lung Cell Mol Physiol </w:t>
      </w:r>
      <w:r w:rsidRPr="009E1CED">
        <w:rPr>
          <w:rFonts w:ascii="Arial" w:hAnsi="Arial" w:cs="Arial"/>
          <w:color w:val="000000"/>
          <w:sz w:val="20"/>
          <w:szCs w:val="20"/>
        </w:rPr>
        <w:t xml:space="preserve">316: L977–L989, 2019. </w:t>
      </w:r>
    </w:p>
    <w:p w14:paraId="60844C45"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bCs/>
          <w:color w:val="000000"/>
          <w:sz w:val="20"/>
          <w:szCs w:val="20"/>
        </w:rPr>
        <w:t xml:space="preserve">Nova Z.  et al. Alveolar-Capillary Membrane-Related Pulmonary Cells as a Target in Endotoxin-Induced Acute Lung Injury </w:t>
      </w:r>
      <w:r w:rsidRPr="009E1CED">
        <w:rPr>
          <w:rFonts w:ascii="Arial" w:hAnsi="Arial" w:cs="Arial"/>
          <w:iCs/>
          <w:color w:val="000000"/>
          <w:sz w:val="20"/>
          <w:szCs w:val="20"/>
        </w:rPr>
        <w:t xml:space="preserve">Int. J. Mol. Sci. </w:t>
      </w:r>
      <w:r w:rsidRPr="009E1CED">
        <w:rPr>
          <w:rFonts w:ascii="Arial" w:hAnsi="Arial" w:cs="Arial"/>
          <w:bCs/>
          <w:color w:val="000000"/>
          <w:sz w:val="20"/>
          <w:szCs w:val="20"/>
        </w:rPr>
        <w:t>2019</w:t>
      </w:r>
      <w:r w:rsidRPr="009E1CED">
        <w:rPr>
          <w:rFonts w:ascii="Arial" w:hAnsi="Arial" w:cs="Arial"/>
          <w:color w:val="000000"/>
          <w:sz w:val="20"/>
          <w:szCs w:val="20"/>
        </w:rPr>
        <w:t xml:space="preserve">, </w:t>
      </w:r>
      <w:r w:rsidRPr="009E1CED">
        <w:rPr>
          <w:rFonts w:ascii="Arial" w:hAnsi="Arial" w:cs="Arial"/>
          <w:iCs/>
          <w:color w:val="000000"/>
          <w:sz w:val="20"/>
          <w:szCs w:val="20"/>
        </w:rPr>
        <w:t>20</w:t>
      </w:r>
      <w:r w:rsidRPr="009E1CED">
        <w:rPr>
          <w:rFonts w:ascii="Arial" w:hAnsi="Arial" w:cs="Arial"/>
          <w:color w:val="000000"/>
          <w:sz w:val="20"/>
          <w:szCs w:val="20"/>
        </w:rPr>
        <w:t xml:space="preserve">, 831. </w:t>
      </w:r>
    </w:p>
    <w:p w14:paraId="4E6EDA2B"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rPr>
        <w:t xml:space="preserve">Schlingmann B. et al. Claudins: gatekeepers of lung epithelial function. Seminars in Cell &amp; Developmental Biology 42 (2015) 47–57. </w:t>
      </w:r>
    </w:p>
    <w:p w14:paraId="0DB47B11"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lang w:val="fr-FR"/>
        </w:rPr>
        <w:t xml:space="preserve">de Souza Carvalho C. et al. </w:t>
      </w:r>
      <w:r w:rsidRPr="009E1CED">
        <w:rPr>
          <w:rFonts w:ascii="Arial" w:hAnsi="Arial" w:cs="Arial"/>
          <w:color w:val="000000"/>
          <w:sz w:val="20"/>
          <w:szCs w:val="20"/>
        </w:rPr>
        <w:t>Carrier interactions with the biological barriers of the lung: Advanced in vitro models and challenges for pulmonary drug delivery. Advanced Drug Delivery Reviews 75 (2014) 129–140.</w:t>
      </w:r>
    </w:p>
    <w:p w14:paraId="5FE1EDAD"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bCs/>
          <w:color w:val="000000"/>
          <w:sz w:val="20"/>
          <w:szCs w:val="20"/>
        </w:rPr>
        <w:t xml:space="preserve">Willis KA, Stewart JD, Ambalavanan N. </w:t>
      </w:r>
      <w:r w:rsidRPr="009E1CED">
        <w:rPr>
          <w:rFonts w:ascii="Arial" w:hAnsi="Arial" w:cs="Arial"/>
          <w:color w:val="000000"/>
          <w:sz w:val="20"/>
          <w:szCs w:val="20"/>
        </w:rPr>
        <w:t xml:space="preserve">Recent advances in understanding the ecology of the lung microbiota and deciphering the gut-lung axis. </w:t>
      </w:r>
      <w:r w:rsidRPr="009E1CED">
        <w:rPr>
          <w:rFonts w:ascii="Arial" w:hAnsi="Arial" w:cs="Arial"/>
          <w:iCs/>
          <w:color w:val="000000"/>
          <w:sz w:val="20"/>
          <w:szCs w:val="20"/>
        </w:rPr>
        <w:t xml:space="preserve">Am J Physiol Lung Cell Mol Physiol </w:t>
      </w:r>
      <w:r w:rsidRPr="009E1CED">
        <w:rPr>
          <w:rFonts w:ascii="Arial" w:hAnsi="Arial" w:cs="Arial"/>
          <w:color w:val="000000"/>
          <w:sz w:val="20"/>
          <w:szCs w:val="20"/>
        </w:rPr>
        <w:t xml:space="preserve">319: L710 –L716, 2020. </w:t>
      </w:r>
    </w:p>
    <w:p w14:paraId="7967F005" w14:textId="77777777" w:rsidR="002A4F5E" w:rsidRPr="009E1CED" w:rsidRDefault="002A4F5E" w:rsidP="001F6FEE">
      <w:pPr>
        <w:pStyle w:val="ListParagraph"/>
        <w:widowControl w:val="0"/>
        <w:numPr>
          <w:ilvl w:val="0"/>
          <w:numId w:val="2"/>
        </w:numPr>
        <w:autoSpaceDE w:val="0"/>
        <w:autoSpaceDN w:val="0"/>
        <w:adjustRightInd w:val="0"/>
        <w:spacing w:after="0" w:line="200" w:lineRule="atLeast"/>
        <w:jc w:val="both"/>
        <w:rPr>
          <w:rFonts w:ascii="Arial" w:hAnsi="Arial" w:cs="Arial"/>
          <w:color w:val="000000"/>
          <w:sz w:val="20"/>
          <w:szCs w:val="20"/>
        </w:rPr>
      </w:pPr>
      <w:r w:rsidRPr="009E1CED">
        <w:rPr>
          <w:rFonts w:ascii="Arial" w:hAnsi="Arial" w:cs="Arial"/>
          <w:color w:val="000000"/>
          <w:sz w:val="20"/>
          <w:szCs w:val="20"/>
        </w:rPr>
        <w:t>Zhou W. et al. Effects of hypoxia on respiratory diseases: perspective view of epithelial ion transport Am J Physiol Lung Cell Mol Physiol 323: L240–L250, 2022.</w:t>
      </w:r>
    </w:p>
    <w:p w14:paraId="79194814" w14:textId="64B86669" w:rsidR="002A4F5E" w:rsidRPr="009E1CED" w:rsidRDefault="002A4F5E" w:rsidP="001F6FEE">
      <w:pPr>
        <w:jc w:val="both"/>
        <w:rPr>
          <w:rFonts w:ascii="Arial" w:hAnsi="Arial" w:cs="Arial"/>
          <w:sz w:val="20"/>
          <w:szCs w:val="20"/>
        </w:rPr>
      </w:pPr>
    </w:p>
    <w:p w14:paraId="113DAEB4" w14:textId="77777777" w:rsidR="002A4F5E" w:rsidRPr="009E1CED" w:rsidRDefault="002A4F5E" w:rsidP="001F6FEE">
      <w:pPr>
        <w:spacing w:after="0" w:line="240" w:lineRule="auto"/>
        <w:jc w:val="both"/>
        <w:rPr>
          <w:rFonts w:ascii="Arial" w:hAnsi="Arial" w:cs="Arial"/>
          <w:sz w:val="20"/>
          <w:szCs w:val="20"/>
        </w:rPr>
      </w:pPr>
      <w:r w:rsidRPr="009E1CED">
        <w:rPr>
          <w:rFonts w:ascii="Arial" w:hAnsi="Arial" w:cs="Arial"/>
          <w:sz w:val="20"/>
          <w:szCs w:val="20"/>
        </w:rPr>
        <w:br w:type="page"/>
      </w:r>
    </w:p>
    <w:p w14:paraId="42D43D98" w14:textId="41B42C07" w:rsidR="001F2697" w:rsidRPr="009E1CED" w:rsidRDefault="001F2697" w:rsidP="001F6FEE">
      <w:pPr>
        <w:adjustRightInd w:val="0"/>
        <w:snapToGrid w:val="0"/>
        <w:jc w:val="both"/>
        <w:rPr>
          <w:rFonts w:ascii="Arial" w:hAnsi="Arial" w:cs="Arial"/>
          <w:b/>
          <w:bCs/>
          <w:color w:val="000000" w:themeColor="text1"/>
          <w:sz w:val="20"/>
          <w:szCs w:val="20"/>
          <w:lang w:val="en-IE"/>
        </w:rPr>
      </w:pPr>
      <w:r w:rsidRPr="009E1CED">
        <w:rPr>
          <w:rFonts w:ascii="Arial" w:hAnsi="Arial" w:cs="Arial"/>
          <w:b/>
          <w:bCs/>
          <w:color w:val="000000" w:themeColor="text1"/>
          <w:sz w:val="20"/>
          <w:szCs w:val="20"/>
          <w:lang w:val="en-IE"/>
        </w:rPr>
        <w:lastRenderedPageBreak/>
        <w:t>Systemic Pulmonary Drug Delivery</w:t>
      </w:r>
      <w:r w:rsidR="00BB6A5E" w:rsidRPr="009E1CED">
        <w:rPr>
          <w:rFonts w:ascii="Arial" w:hAnsi="Arial" w:cs="Arial"/>
          <w:b/>
          <w:bCs/>
          <w:color w:val="000000" w:themeColor="text1"/>
          <w:sz w:val="20"/>
          <w:szCs w:val="20"/>
          <w:lang w:val="en-IE"/>
        </w:rPr>
        <w:t xml:space="preserve"> </w:t>
      </w:r>
      <w:r w:rsidR="00BB6A5E" w:rsidRPr="009E1CED">
        <w:rPr>
          <w:rFonts w:ascii="Arial" w:hAnsi="Arial" w:cs="Arial"/>
          <w:b/>
          <w:bCs/>
          <w:sz w:val="20"/>
          <w:szCs w:val="20"/>
        </w:rPr>
        <w:t>(Oral Presentation)</w:t>
      </w:r>
    </w:p>
    <w:p w14:paraId="6A16B498" w14:textId="417BBB7B" w:rsidR="002A4F5E" w:rsidRPr="009E1CED" w:rsidRDefault="001F2697" w:rsidP="001F6FEE">
      <w:pPr>
        <w:adjustRightInd w:val="0"/>
        <w:snapToGrid w:val="0"/>
        <w:jc w:val="both"/>
        <w:rPr>
          <w:rFonts w:ascii="Arial" w:hAnsi="Arial" w:cs="Arial"/>
          <w:color w:val="000000" w:themeColor="text1"/>
          <w:sz w:val="20"/>
          <w:szCs w:val="20"/>
          <w:lang w:val="en-IE"/>
        </w:rPr>
      </w:pPr>
      <w:r w:rsidRPr="009E1CED">
        <w:rPr>
          <w:rFonts w:ascii="Arial" w:hAnsi="Arial" w:cs="Arial"/>
          <w:color w:val="000000" w:themeColor="text1"/>
          <w:sz w:val="20"/>
          <w:szCs w:val="20"/>
          <w:lang w:val="en-IE"/>
        </w:rPr>
        <w:t xml:space="preserve">Prof. </w:t>
      </w:r>
      <w:r w:rsidR="002A4F5E" w:rsidRPr="009E1CED">
        <w:rPr>
          <w:rFonts w:ascii="Arial" w:hAnsi="Arial" w:cs="Arial"/>
          <w:color w:val="000000" w:themeColor="text1"/>
          <w:sz w:val="20"/>
          <w:szCs w:val="20"/>
          <w:lang w:val="en-IE"/>
        </w:rPr>
        <w:t xml:space="preserve">Carsten Ehrhardt </w:t>
      </w:r>
    </w:p>
    <w:p w14:paraId="6199F346" w14:textId="1560DA26" w:rsidR="002A4F5E" w:rsidRPr="009E1CED" w:rsidRDefault="002A4F5E" w:rsidP="001F6FEE">
      <w:pPr>
        <w:adjustRightInd w:val="0"/>
        <w:snapToGrid w:val="0"/>
        <w:jc w:val="both"/>
        <w:rPr>
          <w:rFonts w:ascii="Arial" w:hAnsi="Arial" w:cs="Arial"/>
          <w:i/>
          <w:color w:val="000000" w:themeColor="text1"/>
          <w:sz w:val="20"/>
          <w:szCs w:val="20"/>
          <w:lang w:val="en-IE"/>
        </w:rPr>
      </w:pPr>
      <w:r w:rsidRPr="009E1CED">
        <w:rPr>
          <w:rFonts w:ascii="Arial" w:hAnsi="Arial" w:cs="Arial"/>
          <w:i/>
          <w:color w:val="000000" w:themeColor="text1"/>
          <w:sz w:val="20"/>
          <w:szCs w:val="20"/>
          <w:lang w:val="en-IE"/>
        </w:rPr>
        <w:t>School of Pharmacy and Pharmaceutical Sciences and Trinity Biomedical Sciences Institute, Trinity College Dublin, Ireland</w:t>
      </w:r>
    </w:p>
    <w:p w14:paraId="618A5B49" w14:textId="09A47CBB"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1922BCF9" w14:textId="6229F17D" w:rsidR="001F2697" w:rsidRPr="009E1CED" w:rsidRDefault="002A4F5E" w:rsidP="001F6FEE">
      <w:pPr>
        <w:jc w:val="both"/>
        <w:rPr>
          <w:rFonts w:ascii="Arial" w:hAnsi="Arial" w:cs="Arial"/>
          <w:color w:val="000000"/>
          <w:sz w:val="20"/>
          <w:szCs w:val="20"/>
          <w:shd w:val="clear" w:color="auto" w:fill="FFFFFF"/>
        </w:rPr>
      </w:pPr>
      <w:r w:rsidRPr="009E1CED">
        <w:rPr>
          <w:rFonts w:ascii="Arial" w:hAnsi="Arial" w:cs="Arial"/>
          <w:color w:val="000000"/>
          <w:sz w:val="20"/>
          <w:szCs w:val="20"/>
          <w:shd w:val="clear" w:color="auto" w:fill="FFFFFF"/>
        </w:rPr>
        <w:t>The majority of marketed orally inhaled medicines are used to topically treat lung diseases such as asthma, chronic obstructive pulmonary disease (COPD) and other inflammatory or infectious conditions, including cystic fibrosis. Pulmonary delivery, however, is also an option to non-invasively deliver drugs to non-pulmonary targets, e.g. the heart or the brain. This is particularly attractive for drug candidates with low oral bioavailability and/or pharmacokinetic issues. Oral inhalation offers a fast onset of action for most small molecules due to the high surface area of the alveoli, combined with avoidance of liver first pass metabolism. Our limited understanding of lung metabolism and absorption pathways as well as the challenge to develop sustained release formulations are among the drawback of the approach. In a market estimated to attain over $40 billion by 2025, systemically inhaled drugs are currently niche products. It is the aim of this</w:t>
      </w:r>
      <w:r w:rsidRPr="009E1CED">
        <w:rPr>
          <w:rStyle w:val="apple-converted-space"/>
          <w:rFonts w:ascii="Arial" w:hAnsi="Arial" w:cs="Arial"/>
          <w:color w:val="000000"/>
          <w:sz w:val="20"/>
          <w:szCs w:val="20"/>
          <w:shd w:val="clear" w:color="auto" w:fill="FFFFFF"/>
        </w:rPr>
        <w:t> </w:t>
      </w:r>
      <w:r w:rsidRPr="009E1CED">
        <w:rPr>
          <w:rStyle w:val="il"/>
          <w:rFonts w:ascii="Arial" w:hAnsi="Arial" w:cs="Arial"/>
          <w:color w:val="000000"/>
          <w:sz w:val="20"/>
          <w:szCs w:val="20"/>
        </w:rPr>
        <w:t>presentation</w:t>
      </w:r>
      <w:r w:rsidRPr="009E1CED">
        <w:rPr>
          <w:rStyle w:val="apple-converted-space"/>
          <w:rFonts w:ascii="Arial" w:hAnsi="Arial" w:cs="Arial"/>
          <w:color w:val="000000"/>
          <w:sz w:val="20"/>
          <w:szCs w:val="20"/>
          <w:shd w:val="clear" w:color="auto" w:fill="FFFFFF"/>
        </w:rPr>
        <w:t> </w:t>
      </w:r>
      <w:r w:rsidRPr="009E1CED">
        <w:rPr>
          <w:rFonts w:ascii="Arial" w:hAnsi="Arial" w:cs="Arial"/>
          <w:color w:val="000000"/>
          <w:sz w:val="20"/>
          <w:szCs w:val="20"/>
          <w:shd w:val="clear" w:color="auto" w:fill="FFFFFF"/>
        </w:rPr>
        <w:t>to summarise and critically evaluate the (small molecule) medicines for systemic pulmonary delivery that are currently available or in development. Moreover, I want to highlight the characteristics formulations and devices should possess for successful development of systemic inhalation therapies.</w:t>
      </w:r>
    </w:p>
    <w:p w14:paraId="7E2238E0" w14:textId="77777777" w:rsidR="001F2697" w:rsidRPr="009E1CED" w:rsidRDefault="001F2697" w:rsidP="001F6FEE">
      <w:pPr>
        <w:spacing w:after="0" w:line="240" w:lineRule="auto"/>
        <w:jc w:val="both"/>
        <w:rPr>
          <w:rFonts w:ascii="Arial" w:hAnsi="Arial" w:cs="Arial"/>
          <w:color w:val="000000"/>
          <w:sz w:val="20"/>
          <w:szCs w:val="20"/>
          <w:shd w:val="clear" w:color="auto" w:fill="FFFFFF"/>
        </w:rPr>
      </w:pPr>
      <w:r w:rsidRPr="009E1CED">
        <w:rPr>
          <w:rFonts w:ascii="Arial" w:hAnsi="Arial" w:cs="Arial"/>
          <w:color w:val="000000"/>
          <w:sz w:val="20"/>
          <w:szCs w:val="20"/>
          <w:shd w:val="clear" w:color="auto" w:fill="FFFFFF"/>
        </w:rPr>
        <w:br w:type="page"/>
      </w:r>
    </w:p>
    <w:p w14:paraId="774212BC" w14:textId="7C41D394" w:rsidR="001F2697" w:rsidRPr="009E1CED" w:rsidRDefault="001F2697" w:rsidP="00560D82">
      <w:pPr>
        <w:jc w:val="both"/>
        <w:rPr>
          <w:rFonts w:ascii="Arial" w:hAnsi="Arial" w:cs="Arial"/>
          <w:b/>
          <w:bCs/>
          <w:color w:val="000000"/>
          <w:sz w:val="20"/>
          <w:szCs w:val="20"/>
          <w:shd w:val="clear" w:color="auto" w:fill="FFFFFF"/>
        </w:rPr>
      </w:pPr>
      <w:r w:rsidRPr="009E1CED">
        <w:rPr>
          <w:rFonts w:ascii="Arial" w:hAnsi="Arial" w:cs="Arial"/>
          <w:b/>
          <w:bCs/>
          <w:color w:val="000000"/>
          <w:sz w:val="20"/>
          <w:szCs w:val="20"/>
          <w:shd w:val="clear" w:color="auto" w:fill="FFFFFF"/>
        </w:rPr>
        <w:lastRenderedPageBreak/>
        <w:t>pMDIs and SMIs, what a formulation developer should know about liquid based inhaler devices</w:t>
      </w:r>
      <w:r w:rsidR="00BB6A5E" w:rsidRPr="009E1CED">
        <w:rPr>
          <w:rFonts w:ascii="Arial" w:hAnsi="Arial" w:cs="Arial"/>
          <w:b/>
          <w:bCs/>
          <w:color w:val="000000"/>
          <w:sz w:val="20"/>
          <w:szCs w:val="20"/>
          <w:shd w:val="clear" w:color="auto" w:fill="FFFFFF"/>
        </w:rPr>
        <w:t xml:space="preserve"> </w:t>
      </w:r>
      <w:r w:rsidR="00BB6A5E" w:rsidRPr="009E1CED">
        <w:rPr>
          <w:rFonts w:ascii="Arial" w:hAnsi="Arial" w:cs="Arial"/>
          <w:b/>
          <w:bCs/>
          <w:sz w:val="20"/>
          <w:szCs w:val="20"/>
        </w:rPr>
        <w:t>(Oral Presentation)</w:t>
      </w:r>
    </w:p>
    <w:p w14:paraId="727DBFA9" w14:textId="77777777" w:rsidR="001F2697" w:rsidRPr="009E1CED" w:rsidRDefault="001F2697" w:rsidP="00560D82">
      <w:pPr>
        <w:jc w:val="both"/>
        <w:rPr>
          <w:rFonts w:ascii="Arial" w:hAnsi="Arial" w:cs="Arial"/>
          <w:color w:val="000000"/>
          <w:sz w:val="20"/>
          <w:szCs w:val="20"/>
          <w:shd w:val="clear" w:color="auto" w:fill="FFFFFF"/>
        </w:rPr>
      </w:pPr>
      <w:r w:rsidRPr="009E1CED">
        <w:rPr>
          <w:rFonts w:ascii="Arial" w:hAnsi="Arial" w:cs="Arial"/>
          <w:color w:val="000000"/>
          <w:sz w:val="20"/>
          <w:szCs w:val="20"/>
          <w:shd w:val="clear" w:color="auto" w:fill="FFFFFF"/>
        </w:rPr>
        <w:t>Wilbur de Kruijf</w:t>
      </w:r>
    </w:p>
    <w:p w14:paraId="3CD5A205" w14:textId="7367DC5D" w:rsidR="001F2697" w:rsidRPr="009E1CED" w:rsidRDefault="001F2697" w:rsidP="00560D82">
      <w:pPr>
        <w:jc w:val="both"/>
        <w:rPr>
          <w:rFonts w:ascii="Arial" w:hAnsi="Arial" w:cs="Arial"/>
          <w:i/>
          <w:iCs/>
          <w:color w:val="000000"/>
          <w:sz w:val="20"/>
          <w:szCs w:val="20"/>
          <w:shd w:val="clear" w:color="auto" w:fill="FFFFFF"/>
        </w:rPr>
      </w:pPr>
      <w:r w:rsidRPr="009E1CED">
        <w:rPr>
          <w:rFonts w:ascii="Arial" w:hAnsi="Arial" w:cs="Arial"/>
          <w:i/>
          <w:iCs/>
          <w:color w:val="000000"/>
          <w:sz w:val="20"/>
          <w:szCs w:val="20"/>
          <w:shd w:val="clear" w:color="auto" w:fill="FFFFFF"/>
        </w:rPr>
        <w:t>Thaerapy BV, The Netherlands</w:t>
      </w:r>
    </w:p>
    <w:p w14:paraId="78084915" w14:textId="298C9817" w:rsidR="00BB6A5E" w:rsidRPr="009E1CED" w:rsidRDefault="00BB6A5E" w:rsidP="00560D82">
      <w:pPr>
        <w:jc w:val="both"/>
        <w:rPr>
          <w:rFonts w:ascii="Arial" w:hAnsi="Arial" w:cs="Arial"/>
          <w:b/>
          <w:bCs/>
          <w:sz w:val="20"/>
          <w:szCs w:val="20"/>
        </w:rPr>
      </w:pPr>
      <w:r w:rsidRPr="009E1CED">
        <w:rPr>
          <w:rFonts w:ascii="Arial" w:hAnsi="Arial" w:cs="Arial"/>
          <w:b/>
          <w:bCs/>
          <w:sz w:val="20"/>
          <w:szCs w:val="20"/>
        </w:rPr>
        <w:t>Abstract</w:t>
      </w:r>
    </w:p>
    <w:p w14:paraId="3F0ECD34" w14:textId="77777777" w:rsidR="00560D82" w:rsidRPr="009E1CED" w:rsidRDefault="001F2697" w:rsidP="00560D82">
      <w:pPr>
        <w:jc w:val="both"/>
        <w:rPr>
          <w:rFonts w:ascii="Arial" w:hAnsi="Arial" w:cs="Arial"/>
          <w:color w:val="000000"/>
          <w:sz w:val="20"/>
          <w:szCs w:val="20"/>
          <w:shd w:val="clear" w:color="auto" w:fill="FFFFFF"/>
        </w:rPr>
      </w:pPr>
      <w:r w:rsidRPr="009E1CED">
        <w:rPr>
          <w:rFonts w:ascii="Arial" w:hAnsi="Arial" w:cs="Arial"/>
          <w:color w:val="000000"/>
          <w:sz w:val="20"/>
          <w:szCs w:val="20"/>
          <w:shd w:val="clear" w:color="auto" w:fill="FFFFFF"/>
        </w:rPr>
        <w:t>Many inhaled drugs are presented in a dry powder format, but some drugs can be formulated</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only in a liquid form, in polar or apolar solvents. In pMDIs, pressurised metered dose inhalers, or</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SMIs, soft mist inhalers. Developing just a liquid for use in a nebuliser, an electric medical</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device, is also possible for some disease areas or for certain regions like in China or India, but</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most of the mainstream inhalation products are in a pocket size device, like a pMDI or an SMI.</w:t>
      </w:r>
      <w:r w:rsidR="00560D82" w:rsidRPr="009E1CED">
        <w:rPr>
          <w:rFonts w:ascii="Arial" w:hAnsi="Arial" w:cs="Arial"/>
          <w:color w:val="000000"/>
          <w:sz w:val="20"/>
          <w:szCs w:val="20"/>
          <w:shd w:val="clear" w:color="auto" w:fill="FFFFFF"/>
        </w:rPr>
        <w:t xml:space="preserve"> </w:t>
      </w:r>
    </w:p>
    <w:p w14:paraId="61FBC301" w14:textId="77777777" w:rsidR="00560D82" w:rsidRPr="009E1CED" w:rsidRDefault="001F2697" w:rsidP="00560D82">
      <w:pPr>
        <w:jc w:val="both"/>
        <w:rPr>
          <w:rFonts w:ascii="Arial" w:hAnsi="Arial" w:cs="Arial"/>
          <w:color w:val="000000"/>
          <w:sz w:val="20"/>
          <w:szCs w:val="20"/>
          <w:shd w:val="clear" w:color="auto" w:fill="FFFFFF"/>
        </w:rPr>
      </w:pPr>
      <w:r w:rsidRPr="009E1CED">
        <w:rPr>
          <w:rFonts w:ascii="Arial" w:hAnsi="Arial" w:cs="Arial"/>
          <w:color w:val="000000"/>
          <w:sz w:val="20"/>
          <w:szCs w:val="20"/>
          <w:shd w:val="clear" w:color="auto" w:fill="FFFFFF"/>
        </w:rPr>
        <w:t>pMDIs are on the market since 1954. Approximately 10-30 percent of the metered dose reaches</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the lungs. 60-80 percent of the drug ends up in the mouth and throat. The formulation is</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normally 90 percent propellant, 9 percent ethanol and 1% or less of the API, the active</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pharmaceutical ingredient. Modern biologics for inhalation can often not be formulated in these</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propellant/ethanol mixtures, plus most biologics need milligrams of drug to be delivered to the</w:t>
      </w:r>
      <w:r w:rsidR="00560D82" w:rsidRPr="009E1CED">
        <w:rPr>
          <w:rFonts w:ascii="Arial" w:hAnsi="Arial" w:cs="Arial"/>
          <w:color w:val="000000"/>
          <w:sz w:val="20"/>
          <w:szCs w:val="20"/>
          <w:shd w:val="clear" w:color="auto" w:fill="FFFFFF"/>
        </w:rPr>
        <w:t xml:space="preserve"> </w:t>
      </w:r>
      <w:r w:rsidRPr="009E1CED">
        <w:rPr>
          <w:rFonts w:ascii="Arial" w:hAnsi="Arial" w:cs="Arial"/>
          <w:color w:val="000000"/>
          <w:sz w:val="20"/>
          <w:szCs w:val="20"/>
          <w:shd w:val="clear" w:color="auto" w:fill="FFFFFF"/>
        </w:rPr>
        <w:t>lungs and not micrograms.</w:t>
      </w:r>
      <w:r w:rsidR="00560D82" w:rsidRPr="009E1CED">
        <w:rPr>
          <w:rFonts w:ascii="Arial" w:hAnsi="Arial" w:cs="Arial"/>
          <w:color w:val="000000"/>
          <w:sz w:val="20"/>
          <w:szCs w:val="20"/>
          <w:shd w:val="clear" w:color="auto" w:fill="FFFFFF"/>
        </w:rPr>
        <w:t xml:space="preserve"> </w:t>
      </w:r>
    </w:p>
    <w:p w14:paraId="3B7DBF8A" w14:textId="35E309CD" w:rsidR="002A4F5E" w:rsidRPr="009E1CED" w:rsidRDefault="001F2697" w:rsidP="00560D82">
      <w:pPr>
        <w:jc w:val="both"/>
        <w:rPr>
          <w:rFonts w:ascii="Arial" w:hAnsi="Arial" w:cs="Arial"/>
          <w:color w:val="000000"/>
          <w:sz w:val="20"/>
          <w:szCs w:val="20"/>
          <w:shd w:val="clear" w:color="auto" w:fill="FFFFFF"/>
        </w:rPr>
      </w:pPr>
      <w:r w:rsidRPr="009E1CED">
        <w:rPr>
          <w:rFonts w:ascii="Arial" w:hAnsi="Arial" w:cs="Arial"/>
          <w:sz w:val="20"/>
          <w:szCs w:val="20"/>
          <w:lang w:val="en-US"/>
        </w:rPr>
        <w:t>SMIs are on the market since 2004. Only Boehringer has a soft mist inhaler on the market for</w:t>
      </w:r>
      <w:r w:rsidR="00560D82" w:rsidRPr="009E1CED">
        <w:rPr>
          <w:rFonts w:ascii="Arial" w:hAnsi="Arial" w:cs="Arial"/>
          <w:color w:val="000000"/>
          <w:sz w:val="20"/>
          <w:szCs w:val="20"/>
          <w:shd w:val="clear" w:color="auto" w:fill="FFFFFF"/>
        </w:rPr>
        <w:t xml:space="preserve"> </w:t>
      </w:r>
      <w:r w:rsidRPr="009E1CED">
        <w:rPr>
          <w:rFonts w:ascii="Arial" w:hAnsi="Arial" w:cs="Arial"/>
          <w:sz w:val="20"/>
          <w:szCs w:val="20"/>
          <w:lang w:val="en-US"/>
        </w:rPr>
        <w:t>COPD. Approximately 60 percent of the metered dose reaches the lungs. Generics are in</w:t>
      </w:r>
      <w:r w:rsidR="00560D82" w:rsidRPr="009E1CED">
        <w:rPr>
          <w:rFonts w:ascii="Arial" w:hAnsi="Arial" w:cs="Arial"/>
          <w:color w:val="000000"/>
          <w:sz w:val="20"/>
          <w:szCs w:val="20"/>
          <w:shd w:val="clear" w:color="auto" w:fill="FFFFFF"/>
        </w:rPr>
        <w:t xml:space="preserve"> </w:t>
      </w:r>
      <w:r w:rsidRPr="009E1CED">
        <w:rPr>
          <w:rFonts w:ascii="Arial" w:hAnsi="Arial" w:cs="Arial"/>
          <w:sz w:val="20"/>
          <w:szCs w:val="20"/>
          <w:lang w:val="en-US"/>
        </w:rPr>
        <w:t>development. SMIs can deliver high doses, especially if the drug is highly soluble in water.</w:t>
      </w:r>
      <w:r w:rsidR="00560D82" w:rsidRPr="009E1CED">
        <w:rPr>
          <w:rFonts w:ascii="Arial" w:hAnsi="Arial" w:cs="Arial"/>
          <w:color w:val="000000"/>
          <w:sz w:val="20"/>
          <w:szCs w:val="20"/>
          <w:shd w:val="clear" w:color="auto" w:fill="FFFFFF"/>
        </w:rPr>
        <w:t xml:space="preserve"> </w:t>
      </w:r>
      <w:r w:rsidRPr="009E1CED">
        <w:rPr>
          <w:rFonts w:ascii="Arial" w:hAnsi="Arial" w:cs="Arial"/>
          <w:sz w:val="20"/>
          <w:szCs w:val="20"/>
          <w:lang w:val="en-US"/>
        </w:rPr>
        <w:t>Some companies work on nano suspensions or emulsions, e.g. water containing lipid nano</w:t>
      </w:r>
      <w:r w:rsidR="00560D82" w:rsidRPr="009E1CED">
        <w:rPr>
          <w:rFonts w:ascii="Arial" w:hAnsi="Arial" w:cs="Arial"/>
          <w:color w:val="000000"/>
          <w:sz w:val="20"/>
          <w:szCs w:val="20"/>
          <w:shd w:val="clear" w:color="auto" w:fill="FFFFFF"/>
        </w:rPr>
        <w:t xml:space="preserve"> </w:t>
      </w:r>
      <w:r w:rsidRPr="009E1CED">
        <w:rPr>
          <w:rFonts w:ascii="Arial" w:hAnsi="Arial" w:cs="Arial"/>
          <w:sz w:val="20"/>
          <w:szCs w:val="20"/>
          <w:lang w:val="en-US"/>
        </w:rPr>
        <w:t>particles encapsulating mRNA. The Rayleigh principle as used by Medspray, Resyca, Aradigm</w:t>
      </w:r>
      <w:r w:rsidR="00560D82" w:rsidRPr="009E1CED">
        <w:rPr>
          <w:rFonts w:ascii="Arial" w:hAnsi="Arial" w:cs="Arial"/>
          <w:color w:val="000000"/>
          <w:sz w:val="20"/>
          <w:szCs w:val="20"/>
          <w:shd w:val="clear" w:color="auto" w:fill="FFFFFF"/>
        </w:rPr>
        <w:t xml:space="preserve"> </w:t>
      </w:r>
      <w:r w:rsidRPr="009E1CED">
        <w:rPr>
          <w:rFonts w:ascii="Arial" w:hAnsi="Arial" w:cs="Arial"/>
          <w:sz w:val="20"/>
          <w:szCs w:val="20"/>
          <w:lang w:val="en-US"/>
        </w:rPr>
        <w:t>seems to induce less shear forces than the Savart principle as in Boehringer’s Respimat SMI.</w:t>
      </w:r>
    </w:p>
    <w:p w14:paraId="076CB867" w14:textId="7615BFA5" w:rsidR="001F2697" w:rsidRPr="009E1CED" w:rsidRDefault="001F2697" w:rsidP="001F6FEE">
      <w:pPr>
        <w:jc w:val="both"/>
        <w:rPr>
          <w:rFonts w:ascii="Arial" w:hAnsi="Arial" w:cs="Arial"/>
          <w:sz w:val="20"/>
          <w:szCs w:val="20"/>
        </w:rPr>
      </w:pPr>
    </w:p>
    <w:p w14:paraId="3B660D42" w14:textId="77777777" w:rsidR="001F2697" w:rsidRPr="009E1CED" w:rsidRDefault="001F2697" w:rsidP="001F6FEE">
      <w:pPr>
        <w:spacing w:after="0" w:line="240" w:lineRule="auto"/>
        <w:jc w:val="both"/>
        <w:rPr>
          <w:rFonts w:ascii="Arial" w:hAnsi="Arial" w:cs="Arial"/>
          <w:sz w:val="20"/>
          <w:szCs w:val="20"/>
        </w:rPr>
      </w:pPr>
      <w:r w:rsidRPr="009E1CED">
        <w:rPr>
          <w:rFonts w:ascii="Arial" w:hAnsi="Arial" w:cs="Arial"/>
          <w:sz w:val="20"/>
          <w:szCs w:val="20"/>
        </w:rPr>
        <w:br w:type="page"/>
      </w:r>
    </w:p>
    <w:p w14:paraId="7BC548EA" w14:textId="0990C930" w:rsidR="001F2697" w:rsidRPr="009E1CED" w:rsidRDefault="001F2697" w:rsidP="001F6FEE">
      <w:pPr>
        <w:jc w:val="both"/>
        <w:rPr>
          <w:rFonts w:ascii="Arial" w:hAnsi="Arial" w:cs="Arial"/>
          <w:b/>
          <w:bCs/>
          <w:sz w:val="20"/>
          <w:szCs w:val="20"/>
          <w:lang w:val="en-US"/>
        </w:rPr>
      </w:pPr>
      <w:r w:rsidRPr="009E1CED">
        <w:rPr>
          <w:rFonts w:ascii="Arial" w:hAnsi="Arial" w:cs="Arial"/>
          <w:b/>
          <w:bCs/>
          <w:sz w:val="20"/>
          <w:szCs w:val="20"/>
          <w:lang w:val="en-US"/>
        </w:rPr>
        <w:lastRenderedPageBreak/>
        <w:t>Guided inhalation maneuvers vs spontaneous breathing maneuvers during unobserved nebulizer therapy</w:t>
      </w:r>
      <w:r w:rsidR="00BB6A5E" w:rsidRPr="009E1CED">
        <w:rPr>
          <w:rFonts w:ascii="Arial" w:hAnsi="Arial" w:cs="Arial"/>
          <w:b/>
          <w:bCs/>
          <w:sz w:val="20"/>
          <w:szCs w:val="20"/>
          <w:lang w:val="en-US"/>
        </w:rPr>
        <w:t xml:space="preserve"> </w:t>
      </w:r>
      <w:r w:rsidR="00BB6A5E" w:rsidRPr="009E1CED">
        <w:rPr>
          <w:rFonts w:ascii="Arial" w:hAnsi="Arial" w:cs="Arial"/>
          <w:b/>
          <w:bCs/>
          <w:sz w:val="20"/>
          <w:szCs w:val="20"/>
        </w:rPr>
        <w:t>(Oral Presentation)</w:t>
      </w:r>
    </w:p>
    <w:p w14:paraId="288F405F" w14:textId="41A590EE" w:rsidR="001F2697" w:rsidRPr="009E1CED" w:rsidRDefault="001F2697" w:rsidP="001F6FEE">
      <w:pPr>
        <w:jc w:val="both"/>
        <w:rPr>
          <w:rFonts w:ascii="Arial" w:hAnsi="Arial" w:cs="Arial"/>
          <w:color w:val="000000" w:themeColor="text1"/>
          <w:sz w:val="20"/>
          <w:szCs w:val="20"/>
        </w:rPr>
      </w:pPr>
      <w:r w:rsidRPr="009E1CED">
        <w:rPr>
          <w:rFonts w:ascii="Arial" w:hAnsi="Arial" w:cs="Arial"/>
          <w:color w:val="000000" w:themeColor="text1"/>
          <w:sz w:val="20"/>
          <w:szCs w:val="20"/>
        </w:rPr>
        <w:t>Ulf Krüger</w:t>
      </w:r>
    </w:p>
    <w:p w14:paraId="5A8B2EDE" w14:textId="1521BD99" w:rsidR="001F2697" w:rsidRPr="009E1CED" w:rsidRDefault="001F2697" w:rsidP="001F6FEE">
      <w:pPr>
        <w:jc w:val="both"/>
        <w:rPr>
          <w:rFonts w:ascii="Arial" w:hAnsi="Arial" w:cs="Arial"/>
          <w:i/>
          <w:iCs/>
          <w:color w:val="000000" w:themeColor="text1"/>
          <w:sz w:val="20"/>
          <w:szCs w:val="20"/>
        </w:rPr>
      </w:pPr>
      <w:r w:rsidRPr="009E1CED">
        <w:rPr>
          <w:rFonts w:ascii="Arial" w:hAnsi="Arial" w:cs="Arial"/>
          <w:i/>
          <w:iCs/>
          <w:color w:val="000000" w:themeColor="text1"/>
          <w:sz w:val="20"/>
          <w:szCs w:val="20"/>
        </w:rPr>
        <w:t>Founder, Pulmotree, Germany</w:t>
      </w:r>
    </w:p>
    <w:p w14:paraId="3CB86543" w14:textId="701A1CAA" w:rsidR="00BB6A5E" w:rsidRPr="009E1CED" w:rsidRDefault="00BB6A5E" w:rsidP="001F6FEE">
      <w:pPr>
        <w:jc w:val="both"/>
        <w:rPr>
          <w:rFonts w:ascii="Arial" w:hAnsi="Arial" w:cs="Arial"/>
          <w:b/>
          <w:bCs/>
          <w:sz w:val="20"/>
          <w:szCs w:val="20"/>
        </w:rPr>
      </w:pPr>
      <w:r w:rsidRPr="009E1CED">
        <w:rPr>
          <w:rFonts w:ascii="Arial" w:hAnsi="Arial" w:cs="Arial"/>
          <w:b/>
          <w:bCs/>
          <w:sz w:val="20"/>
          <w:szCs w:val="20"/>
        </w:rPr>
        <w:t>Abstract</w:t>
      </w:r>
    </w:p>
    <w:p w14:paraId="01B9213C" w14:textId="1CFA2903" w:rsidR="001F2697" w:rsidRPr="009E1CED" w:rsidRDefault="001F2697" w:rsidP="00AC3F4B">
      <w:pPr>
        <w:jc w:val="both"/>
        <w:rPr>
          <w:rFonts w:ascii="Arial" w:hAnsi="Arial" w:cs="Arial"/>
          <w:sz w:val="20"/>
          <w:szCs w:val="20"/>
          <w:lang w:val="en-US"/>
        </w:rPr>
      </w:pPr>
      <w:r w:rsidRPr="009E1CED">
        <w:rPr>
          <w:rFonts w:ascii="Arial" w:hAnsi="Arial" w:cs="Arial"/>
          <w:sz w:val="20"/>
          <w:szCs w:val="20"/>
          <w:lang w:val="en-US"/>
        </w:rPr>
        <w:t>Pulmonary drug delivery is influenced by several factors such as aerosol characteristics, airway structure and breathing maneuver, which ultimately leads to a wide variability in the particle deposition. When the inhalation maneuver is controlled this variability can be reduced. [1-3] Therefore, by guiding the inhalation flow and duration during nebulization, a specific lung region can be targeted.</w:t>
      </w:r>
    </w:p>
    <w:p w14:paraId="525AF511" w14:textId="73339579" w:rsidR="001F2697" w:rsidRPr="009E1CED" w:rsidRDefault="001F2697" w:rsidP="00AC3F4B">
      <w:pPr>
        <w:jc w:val="both"/>
        <w:rPr>
          <w:rFonts w:ascii="Arial" w:hAnsi="Arial" w:cs="Arial"/>
          <w:sz w:val="20"/>
          <w:szCs w:val="20"/>
          <w:lang w:val="en-US"/>
        </w:rPr>
      </w:pPr>
      <w:r w:rsidRPr="009E1CED">
        <w:rPr>
          <w:rFonts w:ascii="Arial" w:hAnsi="Arial" w:cs="Arial"/>
          <w:sz w:val="20"/>
          <w:szCs w:val="20"/>
          <w:lang w:val="en-US"/>
        </w:rPr>
        <w:t xml:space="preserve">Mesh nebulizers with feedback technologies that encourage the user to inhale at a targeted flow and time, assure that the aerosol is only administered when optimal inspiration is done. </w:t>
      </w:r>
    </w:p>
    <w:p w14:paraId="559EA468" w14:textId="18FE69F5" w:rsidR="001F2697" w:rsidRPr="009E1CED" w:rsidRDefault="001F2697" w:rsidP="00AC3F4B">
      <w:pPr>
        <w:jc w:val="both"/>
        <w:rPr>
          <w:rFonts w:ascii="Arial" w:hAnsi="Arial" w:cs="Arial"/>
          <w:sz w:val="20"/>
          <w:szCs w:val="20"/>
          <w:lang w:val="en-US"/>
        </w:rPr>
      </w:pPr>
      <w:r w:rsidRPr="009E1CED">
        <w:rPr>
          <w:rFonts w:ascii="Arial" w:hAnsi="Arial" w:cs="Arial"/>
          <w:sz w:val="20"/>
          <w:szCs w:val="20"/>
          <w:lang w:val="en-US"/>
        </w:rPr>
        <w:t>In order to investigate the positive effect of feedback technologies in controlling the inhalation maneuver, a concept study is currently being conducted. The aim is to compare the inhalation behavior of a larger group of healthy volunteers using the Pulmotree Kolibri Nebulizer. One group will have the feedback technology disabled (spontaneous breathing) and the other will have the technology enabled (guided inhalation). Comparison of inhalation flow, volume and time will be performed between the two groups. The previous performed initial tests of the device V&amp;V be displayed during this presentation.</w:t>
      </w:r>
    </w:p>
    <w:p w14:paraId="42160E09" w14:textId="77777777" w:rsidR="001F2697" w:rsidRPr="009E1CED" w:rsidRDefault="001F2697" w:rsidP="00AC3F4B">
      <w:pPr>
        <w:jc w:val="both"/>
        <w:rPr>
          <w:rFonts w:ascii="Arial" w:hAnsi="Arial" w:cs="Arial"/>
          <w:sz w:val="20"/>
          <w:szCs w:val="20"/>
          <w:lang w:val="en-US"/>
        </w:rPr>
      </w:pPr>
      <w:r w:rsidRPr="009E1CED">
        <w:rPr>
          <w:rFonts w:ascii="Arial" w:hAnsi="Arial" w:cs="Arial"/>
          <w:sz w:val="20"/>
          <w:szCs w:val="20"/>
          <w:lang w:val="en-US"/>
        </w:rPr>
        <w:t xml:space="preserve">Future further data on the study will potentially allow to compare the breathing pattern of users during nebulization with or without feedback guidance. This will provide valuable new patient-side parameters generated during nebulization, unlocking new pathways for inhaled drug development. </w:t>
      </w:r>
    </w:p>
    <w:p w14:paraId="63254A75" w14:textId="77777777" w:rsidR="001F2697" w:rsidRPr="009E1CED" w:rsidRDefault="001F2697" w:rsidP="001F6FEE">
      <w:pPr>
        <w:jc w:val="both"/>
        <w:rPr>
          <w:rFonts w:ascii="Arial" w:hAnsi="Arial" w:cs="Arial"/>
          <w:sz w:val="20"/>
          <w:szCs w:val="20"/>
          <w:lang w:val="en-US"/>
        </w:rPr>
      </w:pPr>
    </w:p>
    <w:p w14:paraId="0DEC11E5" w14:textId="180BD531" w:rsidR="001F2697" w:rsidRPr="009E1CED" w:rsidRDefault="001F2697" w:rsidP="001F6FEE">
      <w:pPr>
        <w:jc w:val="both"/>
        <w:rPr>
          <w:rFonts w:ascii="Arial" w:hAnsi="Arial" w:cs="Arial"/>
          <w:sz w:val="20"/>
          <w:szCs w:val="20"/>
          <w:lang w:val="en-US"/>
        </w:rPr>
      </w:pPr>
      <w:r w:rsidRPr="009E1CED">
        <w:rPr>
          <w:rFonts w:ascii="Arial" w:hAnsi="Arial" w:cs="Arial"/>
          <w:sz w:val="20"/>
          <w:szCs w:val="20"/>
          <w:lang w:val="en-US"/>
        </w:rPr>
        <w:t>References:</w:t>
      </w:r>
    </w:p>
    <w:p w14:paraId="34772CCC" w14:textId="77777777" w:rsidR="001F2697" w:rsidRPr="009E1CED" w:rsidRDefault="001F2697" w:rsidP="001F6FEE">
      <w:pPr>
        <w:jc w:val="both"/>
        <w:rPr>
          <w:rFonts w:ascii="Arial" w:hAnsi="Arial" w:cs="Arial"/>
          <w:sz w:val="20"/>
          <w:szCs w:val="20"/>
          <w:lang w:val="en-US"/>
        </w:rPr>
      </w:pPr>
      <w:r w:rsidRPr="009E1CED">
        <w:rPr>
          <w:rFonts w:ascii="Arial" w:hAnsi="Arial" w:cs="Arial"/>
          <w:sz w:val="20"/>
          <w:szCs w:val="20"/>
          <w:lang w:val="en-US"/>
        </w:rPr>
        <w:t>1) Brand P. et al. Total Deposition of Therapeutic Particles during Spontaneous and Controlled Inhalation, Journal of Pharmaceutical Sciences, Vol. 89, 724–731 (2000)</w:t>
      </w:r>
    </w:p>
    <w:p w14:paraId="5AFE6733" w14:textId="77777777" w:rsidR="001F2697" w:rsidRPr="009E1CED" w:rsidRDefault="001F2697" w:rsidP="001F6FEE">
      <w:pPr>
        <w:jc w:val="both"/>
        <w:rPr>
          <w:rFonts w:ascii="Arial" w:hAnsi="Arial" w:cs="Arial"/>
          <w:sz w:val="20"/>
          <w:szCs w:val="20"/>
          <w:lang w:val="en-US"/>
        </w:rPr>
      </w:pPr>
      <w:r w:rsidRPr="009E1CED">
        <w:rPr>
          <w:rFonts w:ascii="Arial" w:hAnsi="Arial" w:cs="Arial"/>
          <w:sz w:val="20"/>
          <w:szCs w:val="20"/>
          <w:lang w:val="en-US"/>
        </w:rPr>
        <w:t>2) Brand P. et al. Optimum Peripheral Drug Deposition in Patients with Cystic Fibrosis. Journal Of Aerosol Medicine Vol. 18 (1) 45-74 (2005)</w:t>
      </w:r>
    </w:p>
    <w:p w14:paraId="6CC9E83D" w14:textId="77777777" w:rsidR="001F2697" w:rsidRPr="009E1CED" w:rsidRDefault="001F2697" w:rsidP="001F6FEE">
      <w:pPr>
        <w:jc w:val="both"/>
        <w:rPr>
          <w:rFonts w:ascii="Arial" w:hAnsi="Arial" w:cs="Arial"/>
          <w:sz w:val="20"/>
          <w:szCs w:val="20"/>
          <w:lang w:val="en-US"/>
        </w:rPr>
      </w:pPr>
      <w:r w:rsidRPr="009E1CED">
        <w:rPr>
          <w:rFonts w:ascii="Arial" w:hAnsi="Arial" w:cs="Arial"/>
          <w:sz w:val="20"/>
          <w:szCs w:val="20"/>
          <w:lang w:val="en-US"/>
        </w:rPr>
        <w:t xml:space="preserve">3) G. Scheuch et al. Clinical perspectives on pulmonary systemic and macromolecular delivery. Advanced Drug Delivery Reviews. Vol 58. 996–1008 (2006) </w:t>
      </w:r>
    </w:p>
    <w:p w14:paraId="79A2D015" w14:textId="44625832" w:rsidR="001F2697" w:rsidRPr="009E1CED" w:rsidRDefault="001F2697">
      <w:pPr>
        <w:rPr>
          <w:rFonts w:ascii="Arial" w:hAnsi="Arial" w:cs="Arial"/>
          <w:sz w:val="20"/>
          <w:szCs w:val="20"/>
        </w:rPr>
      </w:pPr>
    </w:p>
    <w:p w14:paraId="0BDE43F1" w14:textId="77777777" w:rsidR="001F2697" w:rsidRPr="009E1CED" w:rsidRDefault="001F2697">
      <w:pPr>
        <w:spacing w:after="0" w:line="240" w:lineRule="auto"/>
        <w:rPr>
          <w:rFonts w:ascii="Arial" w:hAnsi="Arial" w:cs="Arial"/>
          <w:sz w:val="20"/>
          <w:szCs w:val="20"/>
        </w:rPr>
      </w:pPr>
      <w:r w:rsidRPr="009E1CED">
        <w:rPr>
          <w:rFonts w:ascii="Arial" w:hAnsi="Arial" w:cs="Arial"/>
          <w:sz w:val="20"/>
          <w:szCs w:val="20"/>
        </w:rPr>
        <w:br w:type="page"/>
      </w:r>
    </w:p>
    <w:p w14:paraId="144A123A" w14:textId="293A8CDE" w:rsidR="001F2697" w:rsidRPr="009E1CED" w:rsidRDefault="001F2697">
      <w:pPr>
        <w:rPr>
          <w:rFonts w:ascii="Arial" w:hAnsi="Arial" w:cs="Arial"/>
          <w:b/>
          <w:bCs/>
          <w:color w:val="222222"/>
          <w:sz w:val="20"/>
          <w:szCs w:val="20"/>
          <w:shd w:val="clear" w:color="auto" w:fill="FFFFFF"/>
        </w:rPr>
      </w:pPr>
      <w:r w:rsidRPr="009E1CED">
        <w:rPr>
          <w:rFonts w:ascii="Arial" w:hAnsi="Arial" w:cs="Arial"/>
          <w:b/>
          <w:bCs/>
          <w:color w:val="222222"/>
          <w:sz w:val="20"/>
          <w:szCs w:val="20"/>
          <w:shd w:val="clear" w:color="auto" w:fill="FFFFFF"/>
        </w:rPr>
        <w:lastRenderedPageBreak/>
        <w:t xml:space="preserve">Current </w:t>
      </w:r>
      <w:r w:rsidR="001F6FEE" w:rsidRPr="009E1CED">
        <w:rPr>
          <w:rFonts w:ascii="Arial" w:hAnsi="Arial" w:cs="Arial"/>
          <w:b/>
          <w:bCs/>
          <w:color w:val="222222"/>
          <w:sz w:val="20"/>
          <w:szCs w:val="20"/>
          <w:shd w:val="clear" w:color="auto" w:fill="FFFFFF"/>
        </w:rPr>
        <w:t>s</w:t>
      </w:r>
      <w:r w:rsidRPr="009E1CED">
        <w:rPr>
          <w:rFonts w:ascii="Arial" w:hAnsi="Arial" w:cs="Arial"/>
          <w:b/>
          <w:bCs/>
          <w:color w:val="222222"/>
          <w:sz w:val="20"/>
          <w:szCs w:val="20"/>
          <w:shd w:val="clear" w:color="auto" w:fill="FFFFFF"/>
        </w:rPr>
        <w:t xml:space="preserve">tate </w:t>
      </w:r>
      <w:r w:rsidR="001F6FEE" w:rsidRPr="009E1CED">
        <w:rPr>
          <w:rFonts w:ascii="Arial" w:hAnsi="Arial" w:cs="Arial"/>
          <w:b/>
          <w:bCs/>
          <w:color w:val="222222"/>
          <w:sz w:val="20"/>
          <w:szCs w:val="20"/>
          <w:shd w:val="clear" w:color="auto" w:fill="FFFFFF"/>
        </w:rPr>
        <w:t>of the art in nebulization</w:t>
      </w:r>
      <w:r w:rsidR="00BB6A5E" w:rsidRPr="009E1CED">
        <w:rPr>
          <w:rFonts w:ascii="Arial" w:hAnsi="Arial" w:cs="Arial"/>
          <w:b/>
          <w:bCs/>
          <w:color w:val="222222"/>
          <w:sz w:val="20"/>
          <w:szCs w:val="20"/>
          <w:shd w:val="clear" w:color="auto" w:fill="FFFFFF"/>
        </w:rPr>
        <w:t xml:space="preserve"> </w:t>
      </w:r>
      <w:r w:rsidR="00BB6A5E" w:rsidRPr="009E1CED">
        <w:rPr>
          <w:rFonts w:ascii="Arial" w:hAnsi="Arial" w:cs="Arial"/>
          <w:b/>
          <w:bCs/>
          <w:sz w:val="20"/>
          <w:szCs w:val="20"/>
        </w:rPr>
        <w:t>(Oral Presentation)</w:t>
      </w:r>
    </w:p>
    <w:p w14:paraId="25BE5D55" w14:textId="7931BD69" w:rsidR="001F6FEE" w:rsidRPr="009E1CED" w:rsidRDefault="001F6FEE">
      <w:pPr>
        <w:rPr>
          <w:rFonts w:ascii="Arial" w:hAnsi="Arial" w:cs="Arial"/>
          <w:color w:val="000000" w:themeColor="text1"/>
          <w:sz w:val="20"/>
          <w:szCs w:val="20"/>
        </w:rPr>
      </w:pPr>
      <w:r w:rsidRPr="009E1CED">
        <w:rPr>
          <w:rFonts w:ascii="Arial" w:hAnsi="Arial" w:cs="Arial"/>
          <w:color w:val="000000" w:themeColor="text1"/>
          <w:sz w:val="20"/>
          <w:szCs w:val="20"/>
        </w:rPr>
        <w:t>Dr. Ronan MacLoughlin</w:t>
      </w:r>
    </w:p>
    <w:p w14:paraId="1AC66BB3" w14:textId="5552AAD8" w:rsidR="001F6FEE" w:rsidRPr="009E1CED" w:rsidRDefault="001F6FEE">
      <w:pPr>
        <w:rPr>
          <w:rFonts w:ascii="Arial" w:hAnsi="Arial" w:cs="Arial"/>
          <w:i/>
          <w:iCs/>
          <w:color w:val="000000" w:themeColor="text1"/>
          <w:sz w:val="20"/>
          <w:szCs w:val="20"/>
        </w:rPr>
      </w:pPr>
      <w:r w:rsidRPr="009E1CED">
        <w:rPr>
          <w:rFonts w:ascii="Arial" w:hAnsi="Arial" w:cs="Arial"/>
          <w:i/>
          <w:iCs/>
          <w:color w:val="000000" w:themeColor="text1"/>
          <w:sz w:val="20"/>
          <w:szCs w:val="20"/>
        </w:rPr>
        <w:t>Aerogen, Ireland</w:t>
      </w:r>
    </w:p>
    <w:p w14:paraId="62FE08A2" w14:textId="3C328CC3"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475C8B8C" w14:textId="6C2CF89A" w:rsidR="00E0629C" w:rsidRPr="009E1CED" w:rsidRDefault="001F2697">
      <w:pPr>
        <w:rPr>
          <w:rFonts w:ascii="Arial" w:hAnsi="Arial" w:cs="Arial"/>
          <w:color w:val="222222"/>
          <w:sz w:val="20"/>
          <w:szCs w:val="20"/>
          <w:shd w:val="clear" w:color="auto" w:fill="FFFFFF"/>
        </w:rPr>
      </w:pPr>
      <w:r w:rsidRPr="009E1CED">
        <w:rPr>
          <w:rFonts w:ascii="Arial" w:hAnsi="Arial" w:cs="Arial"/>
          <w:color w:val="222222"/>
          <w:sz w:val="20"/>
          <w:szCs w:val="20"/>
          <w:shd w:val="clear" w:color="auto" w:fill="FFFFFF"/>
        </w:rPr>
        <w:t>After decades of stagnation in design innovation, nebuliser technologies have begun to develop at pace and are now enabling new therapies and interventions that previously were not feasible through the inhaled route. This</w:t>
      </w:r>
      <w:r w:rsidRPr="009E1CED">
        <w:rPr>
          <w:rStyle w:val="apple-converted-space"/>
          <w:rFonts w:ascii="Arial" w:hAnsi="Arial" w:cs="Arial"/>
          <w:color w:val="222222"/>
          <w:sz w:val="20"/>
          <w:szCs w:val="20"/>
          <w:shd w:val="clear" w:color="auto" w:fill="FFFFFF"/>
        </w:rPr>
        <w:t> </w:t>
      </w:r>
      <w:r w:rsidRPr="009E1CED">
        <w:rPr>
          <w:rStyle w:val="il"/>
          <w:rFonts w:ascii="Arial" w:hAnsi="Arial" w:cs="Arial"/>
          <w:color w:val="222222"/>
          <w:sz w:val="20"/>
          <w:szCs w:val="20"/>
        </w:rPr>
        <w:t>presentation</w:t>
      </w:r>
      <w:r w:rsidRPr="009E1CED">
        <w:rPr>
          <w:rStyle w:val="apple-converted-space"/>
          <w:rFonts w:ascii="Arial" w:hAnsi="Arial" w:cs="Arial"/>
          <w:color w:val="222222"/>
          <w:sz w:val="20"/>
          <w:szCs w:val="20"/>
          <w:shd w:val="clear" w:color="auto" w:fill="FFFFFF"/>
        </w:rPr>
        <w:t> </w:t>
      </w:r>
      <w:r w:rsidRPr="009E1CED">
        <w:rPr>
          <w:rFonts w:ascii="Arial" w:hAnsi="Arial" w:cs="Arial"/>
          <w:color w:val="222222"/>
          <w:sz w:val="20"/>
          <w:szCs w:val="20"/>
          <w:shd w:val="clear" w:color="auto" w:fill="FFFFFF"/>
        </w:rPr>
        <w:t>will cover the current state of the art in nebuliser types, their application and some of the post-COVID-19 pandemic considerations in nebuliser selection. Case studies shall be</w:t>
      </w:r>
      <w:r w:rsidRPr="009E1CED">
        <w:rPr>
          <w:rStyle w:val="apple-converted-space"/>
          <w:rFonts w:ascii="Arial" w:hAnsi="Arial" w:cs="Arial"/>
          <w:color w:val="222222"/>
          <w:sz w:val="20"/>
          <w:szCs w:val="20"/>
          <w:shd w:val="clear" w:color="auto" w:fill="FFFFFF"/>
        </w:rPr>
        <w:t> </w:t>
      </w:r>
      <w:r w:rsidRPr="009E1CED">
        <w:rPr>
          <w:rStyle w:val="il"/>
          <w:rFonts w:ascii="Arial" w:hAnsi="Arial" w:cs="Arial"/>
          <w:color w:val="222222"/>
          <w:sz w:val="20"/>
          <w:szCs w:val="20"/>
        </w:rPr>
        <w:t>presented</w:t>
      </w:r>
      <w:r w:rsidRPr="009E1CED">
        <w:rPr>
          <w:rStyle w:val="apple-converted-space"/>
          <w:rFonts w:ascii="Arial" w:hAnsi="Arial" w:cs="Arial"/>
          <w:color w:val="222222"/>
          <w:sz w:val="20"/>
          <w:szCs w:val="20"/>
          <w:shd w:val="clear" w:color="auto" w:fill="FFFFFF"/>
        </w:rPr>
        <w:t> </w:t>
      </w:r>
      <w:r w:rsidRPr="009E1CED">
        <w:rPr>
          <w:rFonts w:ascii="Arial" w:hAnsi="Arial" w:cs="Arial"/>
          <w:color w:val="222222"/>
          <w:sz w:val="20"/>
          <w:szCs w:val="20"/>
          <w:shd w:val="clear" w:color="auto" w:fill="FFFFFF"/>
        </w:rPr>
        <w:t>on the application of vibrating mesh nebuliser in the world’s first approved inhaled vaccine for COVID-19 (Convidicia Air) and the delivery of exogenous surfactant to the premature infant.</w:t>
      </w:r>
    </w:p>
    <w:p w14:paraId="76AEC27E" w14:textId="64704EF2" w:rsidR="001F6FEE" w:rsidRPr="009E1CED" w:rsidRDefault="001F6FEE">
      <w:pPr>
        <w:rPr>
          <w:rFonts w:ascii="Arial" w:hAnsi="Arial" w:cs="Arial"/>
          <w:color w:val="222222"/>
          <w:sz w:val="20"/>
          <w:szCs w:val="20"/>
          <w:shd w:val="clear" w:color="auto" w:fill="FFFFFF"/>
        </w:rPr>
      </w:pPr>
    </w:p>
    <w:p w14:paraId="439186C9" w14:textId="77777777" w:rsidR="001F6FEE" w:rsidRPr="009E1CED" w:rsidRDefault="001F6FEE">
      <w:pPr>
        <w:spacing w:after="0" w:line="240" w:lineRule="auto"/>
        <w:rPr>
          <w:rFonts w:ascii="Arial" w:hAnsi="Arial" w:cs="Arial"/>
          <w:color w:val="222222"/>
          <w:sz w:val="20"/>
          <w:szCs w:val="20"/>
          <w:shd w:val="clear" w:color="auto" w:fill="FFFFFF"/>
        </w:rPr>
      </w:pPr>
      <w:r w:rsidRPr="009E1CED">
        <w:rPr>
          <w:rFonts w:ascii="Arial" w:hAnsi="Arial" w:cs="Arial"/>
          <w:color w:val="222222"/>
          <w:sz w:val="20"/>
          <w:szCs w:val="20"/>
          <w:shd w:val="clear" w:color="auto" w:fill="FFFFFF"/>
        </w:rPr>
        <w:br w:type="page"/>
      </w:r>
    </w:p>
    <w:p w14:paraId="3B78BA13" w14:textId="5E524E78" w:rsidR="001F6FEE" w:rsidRPr="009E1CED" w:rsidRDefault="001F6FEE" w:rsidP="001F6FEE">
      <w:pPr>
        <w:rPr>
          <w:rFonts w:ascii="Arial" w:hAnsi="Arial" w:cs="Arial"/>
          <w:b/>
          <w:bCs/>
          <w:color w:val="222222"/>
          <w:sz w:val="20"/>
          <w:szCs w:val="20"/>
          <w:shd w:val="clear" w:color="auto" w:fill="FFFFFF"/>
        </w:rPr>
      </w:pPr>
      <w:r w:rsidRPr="009E1CED">
        <w:rPr>
          <w:rFonts w:ascii="Arial" w:hAnsi="Arial" w:cs="Arial"/>
          <w:b/>
          <w:bCs/>
          <w:color w:val="222222"/>
          <w:sz w:val="20"/>
          <w:szCs w:val="20"/>
          <w:shd w:val="clear" w:color="auto" w:fill="FFFFFF"/>
        </w:rPr>
        <w:lastRenderedPageBreak/>
        <w:t>How to Assess and Improve Inhaler Adherence in Asthma and COPD?</w:t>
      </w:r>
      <w:r w:rsidR="00BB6A5E" w:rsidRPr="009E1CED">
        <w:rPr>
          <w:rFonts w:ascii="Arial" w:hAnsi="Arial" w:cs="Arial"/>
          <w:b/>
          <w:bCs/>
          <w:color w:val="222222"/>
          <w:sz w:val="20"/>
          <w:szCs w:val="20"/>
          <w:shd w:val="clear" w:color="auto" w:fill="FFFFFF"/>
        </w:rPr>
        <w:t xml:space="preserve"> </w:t>
      </w:r>
      <w:r w:rsidR="00BB6A5E" w:rsidRPr="009E1CED">
        <w:rPr>
          <w:rFonts w:ascii="Arial" w:hAnsi="Arial" w:cs="Arial"/>
          <w:b/>
          <w:bCs/>
          <w:sz w:val="20"/>
          <w:szCs w:val="20"/>
        </w:rPr>
        <w:t>(Oral Presentation)</w:t>
      </w:r>
    </w:p>
    <w:p w14:paraId="21873935" w14:textId="77777777" w:rsidR="001F6FEE" w:rsidRPr="009E1CED" w:rsidRDefault="001F6FEE" w:rsidP="001F6FEE">
      <w:pPr>
        <w:rPr>
          <w:rFonts w:ascii="Arial" w:hAnsi="Arial" w:cs="Arial"/>
          <w:color w:val="222222"/>
          <w:sz w:val="20"/>
          <w:szCs w:val="20"/>
          <w:shd w:val="clear" w:color="auto" w:fill="FFFFFF"/>
        </w:rPr>
      </w:pPr>
      <w:r w:rsidRPr="009E1CED">
        <w:rPr>
          <w:rFonts w:ascii="Arial" w:hAnsi="Arial" w:cs="Arial"/>
          <w:color w:val="222222"/>
          <w:sz w:val="20"/>
          <w:szCs w:val="20"/>
          <w:shd w:val="clear" w:color="auto" w:fill="FFFFFF"/>
        </w:rPr>
        <w:t xml:space="preserve">Federico Lavorini MD, PhD </w:t>
      </w:r>
    </w:p>
    <w:p w14:paraId="5BAA699D" w14:textId="7DEF6E60" w:rsidR="001F6FEE" w:rsidRPr="009E1CED" w:rsidRDefault="001F6FEE" w:rsidP="001F6FEE">
      <w:pPr>
        <w:rPr>
          <w:rFonts w:ascii="Arial" w:hAnsi="Arial" w:cs="Arial"/>
          <w:i/>
          <w:iCs/>
          <w:color w:val="222222"/>
          <w:sz w:val="20"/>
          <w:szCs w:val="20"/>
          <w:shd w:val="clear" w:color="auto" w:fill="FFFFFF"/>
        </w:rPr>
      </w:pPr>
      <w:r w:rsidRPr="009E1CED">
        <w:rPr>
          <w:rFonts w:ascii="Arial" w:hAnsi="Arial" w:cs="Arial"/>
          <w:i/>
          <w:iCs/>
          <w:color w:val="222222"/>
          <w:sz w:val="20"/>
          <w:szCs w:val="20"/>
          <w:shd w:val="clear" w:color="auto" w:fill="FFFFFF"/>
        </w:rPr>
        <w:t xml:space="preserve">Department of Experimental and Clinical Medicine, University of Florence, Italy </w:t>
      </w:r>
    </w:p>
    <w:p w14:paraId="08568CDD" w14:textId="41C1F32C"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7EA8C084" w14:textId="77777777" w:rsidR="001F6FEE" w:rsidRPr="009E1CED" w:rsidRDefault="001F6FEE" w:rsidP="001F6FEE">
      <w:pPr>
        <w:jc w:val="both"/>
        <w:rPr>
          <w:rFonts w:ascii="Arial" w:hAnsi="Arial" w:cs="Arial"/>
          <w:sz w:val="20"/>
          <w:szCs w:val="20"/>
          <w:lang w:val="en-US"/>
        </w:rPr>
      </w:pPr>
      <w:r w:rsidRPr="009E1CED">
        <w:rPr>
          <w:rFonts w:ascii="Arial" w:hAnsi="Arial" w:cs="Arial"/>
          <w:sz w:val="20"/>
          <w:szCs w:val="20"/>
          <w:lang w:val="en-US"/>
        </w:rPr>
        <w:t>Asthma and chronic obstructive pulmonary disease (COPD) are common respiratory diseases with significant personal and worldwide economic impact. Inhalation therapy remains the cornerstone of treatment for these diseases since it allows the delivery of active molecules directly to the target site of action, whilst minimizing adverse side effects. Inhalers therefore play a crucial role in the effective management of asthma and COPD and their choice is as important as that of the drug. In the past 15 years several new drugs and inhalers have been marketed ensuring optimal aerosolisation performance and consistency efficacy. Despite the development of several new drugs and improved types of inhalers, adherence to treatments is suboptimal for various reasons. In addition, many asthma and COPD patients cannot use their inhalers well enough to benefit from the treatment with a consequent decreased treatment effectiveness.  Errors in the use of inhalers can be a consequence of device-related factors, patient-related factors, and health professional-related factors. To optimise treatment effectiveness, education and specific training in the correct use of inhalers with subsequent monitoring and re-training are crucial and involved healthcare professionals have to be adequately trained before providing this service. Optimising treatment effectiveness also requires tailoring the drug-device combination chosen for each individual patient, based on his/her individual characteristics, the specific disease and its severity, and the characteristics of devices.</w:t>
      </w:r>
    </w:p>
    <w:p w14:paraId="227B04B5" w14:textId="614C19F6" w:rsidR="001F6FEE" w:rsidRPr="009E1CED" w:rsidRDefault="001F6FEE">
      <w:pPr>
        <w:rPr>
          <w:rFonts w:ascii="Arial" w:hAnsi="Arial" w:cs="Arial"/>
          <w:sz w:val="20"/>
          <w:szCs w:val="20"/>
        </w:rPr>
      </w:pPr>
    </w:p>
    <w:p w14:paraId="3F8CCA42" w14:textId="77777777" w:rsidR="001F6FEE" w:rsidRPr="009E1CED" w:rsidRDefault="001F6FEE">
      <w:pPr>
        <w:spacing w:after="0" w:line="240" w:lineRule="auto"/>
        <w:rPr>
          <w:rFonts w:ascii="Arial" w:hAnsi="Arial" w:cs="Arial"/>
          <w:sz w:val="20"/>
          <w:szCs w:val="20"/>
        </w:rPr>
      </w:pPr>
      <w:r w:rsidRPr="009E1CED">
        <w:rPr>
          <w:rFonts w:ascii="Arial" w:hAnsi="Arial" w:cs="Arial"/>
          <w:sz w:val="20"/>
          <w:szCs w:val="20"/>
        </w:rPr>
        <w:br w:type="page"/>
      </w:r>
    </w:p>
    <w:p w14:paraId="1F109A04" w14:textId="2668B9BC" w:rsidR="001F6FEE" w:rsidRPr="009E1CED" w:rsidRDefault="001F6FEE" w:rsidP="001F6FEE">
      <w:pPr>
        <w:rPr>
          <w:rFonts w:ascii="Arial" w:hAnsi="Arial" w:cs="Arial"/>
          <w:b/>
          <w:bCs/>
          <w:color w:val="222222"/>
          <w:sz w:val="20"/>
          <w:szCs w:val="20"/>
          <w:shd w:val="clear" w:color="auto" w:fill="FFFFFF"/>
        </w:rPr>
      </w:pPr>
      <w:r w:rsidRPr="009E1CED">
        <w:rPr>
          <w:rFonts w:ascii="Arial" w:hAnsi="Arial" w:cs="Arial"/>
          <w:b/>
          <w:bCs/>
          <w:sz w:val="20"/>
          <w:szCs w:val="20"/>
        </w:rPr>
        <w:lastRenderedPageBreak/>
        <w:t>Carrier-Free Formulations for Dry Powder Inhalers (DPIs)</w:t>
      </w:r>
      <w:r w:rsidR="00BB6A5E" w:rsidRPr="009E1CED">
        <w:rPr>
          <w:rFonts w:ascii="Arial" w:hAnsi="Arial" w:cs="Arial"/>
          <w:b/>
          <w:bCs/>
          <w:sz w:val="20"/>
          <w:szCs w:val="20"/>
        </w:rPr>
        <w:t xml:space="preserve"> (Oral Presentation)</w:t>
      </w:r>
    </w:p>
    <w:p w14:paraId="086D2920" w14:textId="77777777" w:rsidR="001F6FEE" w:rsidRPr="009E1CED" w:rsidRDefault="001F6FEE" w:rsidP="001F6FEE">
      <w:pPr>
        <w:rPr>
          <w:rFonts w:ascii="Arial" w:hAnsi="Arial" w:cs="Arial"/>
          <w:sz w:val="20"/>
          <w:szCs w:val="20"/>
        </w:rPr>
      </w:pPr>
      <w:r w:rsidRPr="009E1CED">
        <w:rPr>
          <w:rFonts w:ascii="Arial" w:hAnsi="Arial" w:cs="Arial"/>
          <w:sz w:val="20"/>
          <w:szCs w:val="20"/>
        </w:rPr>
        <w:t>Prof. Anne Marie Healy</w:t>
      </w:r>
    </w:p>
    <w:p w14:paraId="5AF1606C" w14:textId="5ECF5F74" w:rsidR="001F6FEE" w:rsidRPr="009E1CED" w:rsidRDefault="001F6FEE" w:rsidP="001F6FEE">
      <w:pPr>
        <w:rPr>
          <w:rFonts w:ascii="Arial" w:hAnsi="Arial" w:cs="Arial"/>
          <w:i/>
          <w:iCs/>
          <w:sz w:val="20"/>
          <w:szCs w:val="20"/>
        </w:rPr>
      </w:pPr>
      <w:r w:rsidRPr="009E1CED">
        <w:rPr>
          <w:rFonts w:ascii="Arial" w:hAnsi="Arial" w:cs="Arial"/>
          <w:i/>
          <w:iCs/>
          <w:sz w:val="20"/>
          <w:szCs w:val="20"/>
        </w:rPr>
        <w:t>Trinity College Dublin, Ireland.</w:t>
      </w:r>
    </w:p>
    <w:p w14:paraId="282841DE" w14:textId="0E99A25E"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790CE852" w14:textId="77777777" w:rsidR="001F6FEE" w:rsidRPr="009E1CED" w:rsidRDefault="001F6FEE" w:rsidP="001F6FEE">
      <w:pPr>
        <w:jc w:val="both"/>
        <w:rPr>
          <w:rFonts w:ascii="Arial" w:hAnsi="Arial" w:cs="Arial"/>
          <w:sz w:val="20"/>
          <w:szCs w:val="20"/>
          <w:lang w:val="en-US"/>
        </w:rPr>
      </w:pPr>
      <w:r w:rsidRPr="009E1CED">
        <w:rPr>
          <w:rFonts w:ascii="Arial" w:hAnsi="Arial" w:cs="Arial"/>
          <w:sz w:val="20"/>
          <w:szCs w:val="20"/>
          <w:lang w:val="en-US"/>
        </w:rPr>
        <w:t>Traditionally, the vast majority of dry powder inhaler (DPI) products consisted of a simple mixture comprising micronized drug particles and a carrier excipient, commonly lactose monohydrate. The inclusion of the carrier aims to address challenges related to poor flowability and dispersibility caused by the cohesive nature of small, micronized active pharmaceutical ingredient (API) particles. With such carrier-based systems, it is crucial to carefully design both the powder blend and the DPI device to facilitate the separation of the micronized drug from the carrier upon inhalation. However, over the last couple of decades, extensive research has been conducted on the development of carrier-free formulations for DPI products. These formulations often employ advanced particle engineering techniques with the primary goal of reducing particle cohesion, while maximizing dispersion and delivery from the inhaler. In this presentation I will focus on various approaches to the design and production of powder formulations for carrier-free DPI products, and the advantages imparted by such formulations.</w:t>
      </w:r>
    </w:p>
    <w:p w14:paraId="423B6FB2" w14:textId="173A2F9B" w:rsidR="001F6FEE" w:rsidRPr="009E1CED" w:rsidRDefault="001F6FEE" w:rsidP="001F6FEE">
      <w:pPr>
        <w:jc w:val="both"/>
        <w:rPr>
          <w:rFonts w:ascii="Arial" w:hAnsi="Arial" w:cs="Arial"/>
          <w:sz w:val="20"/>
          <w:szCs w:val="20"/>
          <w:lang w:val="en-US"/>
        </w:rPr>
      </w:pPr>
    </w:p>
    <w:p w14:paraId="2E40FCF7" w14:textId="77777777" w:rsidR="001F6FEE" w:rsidRPr="009E1CED" w:rsidRDefault="001F6FEE">
      <w:pPr>
        <w:spacing w:after="0" w:line="240" w:lineRule="auto"/>
        <w:rPr>
          <w:rFonts w:ascii="Arial" w:hAnsi="Arial" w:cs="Arial"/>
          <w:sz w:val="20"/>
          <w:szCs w:val="20"/>
          <w:lang w:val="en-US"/>
        </w:rPr>
      </w:pPr>
      <w:r w:rsidRPr="009E1CED">
        <w:rPr>
          <w:rFonts w:ascii="Arial" w:hAnsi="Arial" w:cs="Arial"/>
          <w:sz w:val="20"/>
          <w:szCs w:val="20"/>
          <w:lang w:val="en-US"/>
        </w:rPr>
        <w:br w:type="page"/>
      </w:r>
    </w:p>
    <w:bookmarkStart w:id="7" w:name="Title"/>
    <w:p w14:paraId="0054DFFE" w14:textId="314CF525" w:rsidR="00E31FF4" w:rsidRPr="009E1CED" w:rsidRDefault="00000000" w:rsidP="00E31FF4">
      <w:pPr>
        <w:rPr>
          <w:rFonts w:ascii="Arial" w:hAnsi="Arial" w:cs="Arial"/>
          <w:b/>
          <w:bCs/>
          <w:color w:val="222222"/>
          <w:sz w:val="20"/>
          <w:szCs w:val="20"/>
          <w:shd w:val="clear" w:color="auto" w:fill="FFFFFF"/>
        </w:rPr>
      </w:pPr>
      <w:sdt>
        <w:sdtPr>
          <w:rPr>
            <w:rFonts w:ascii="Arial" w:hAnsi="Arial" w:cs="Arial"/>
            <w:b/>
            <w:bCs/>
            <w:sz w:val="20"/>
            <w:szCs w:val="20"/>
          </w:rPr>
          <w:alias w:val="Title"/>
          <w:tag w:val="Title"/>
          <w:id w:val="-912845432"/>
          <w:placeholder>
            <w:docPart w:val="2094C671F7DB344E9795AA7305D16F63"/>
          </w:placeholder>
        </w:sdtPr>
        <w:sdtContent>
          <w:r w:rsidR="00E31FF4" w:rsidRPr="009E1CED">
            <w:rPr>
              <w:rFonts w:ascii="Arial" w:hAnsi="Arial" w:cs="Arial"/>
              <w:b/>
              <w:bCs/>
              <w:sz w:val="20"/>
              <w:szCs w:val="20"/>
            </w:rPr>
            <w:t xml:space="preserve">Particle Engineering for the </w:t>
          </w:r>
          <w:r w:rsidR="00B7353D" w:rsidRPr="009E1CED">
            <w:rPr>
              <w:rFonts w:ascii="Arial" w:hAnsi="Arial" w:cs="Arial"/>
              <w:b/>
              <w:bCs/>
              <w:sz w:val="20"/>
              <w:szCs w:val="20"/>
            </w:rPr>
            <w:t>M</w:t>
          </w:r>
          <w:r w:rsidR="00E31FF4" w:rsidRPr="009E1CED">
            <w:rPr>
              <w:rFonts w:ascii="Arial" w:hAnsi="Arial" w:cs="Arial"/>
              <w:b/>
              <w:bCs/>
              <w:sz w:val="20"/>
              <w:szCs w:val="20"/>
            </w:rPr>
            <w:t xml:space="preserve">odulation of Dug </w:t>
          </w:r>
          <w:r w:rsidR="00B7353D" w:rsidRPr="009E1CED">
            <w:rPr>
              <w:rFonts w:ascii="Arial" w:hAnsi="Arial" w:cs="Arial"/>
              <w:b/>
              <w:bCs/>
              <w:sz w:val="20"/>
              <w:szCs w:val="20"/>
            </w:rPr>
            <w:t>R</w:t>
          </w:r>
          <w:r w:rsidR="00E31FF4" w:rsidRPr="009E1CED">
            <w:rPr>
              <w:rFonts w:ascii="Arial" w:hAnsi="Arial" w:cs="Arial"/>
              <w:b/>
              <w:bCs/>
              <w:sz w:val="20"/>
              <w:szCs w:val="20"/>
            </w:rPr>
            <w:t xml:space="preserve">elease in Inhalation Therapy </w:t>
          </w:r>
        </w:sdtContent>
      </w:sdt>
      <w:bookmarkEnd w:id="7"/>
      <w:r w:rsidR="00E31FF4" w:rsidRPr="009E1CED">
        <w:rPr>
          <w:rFonts w:ascii="Arial" w:hAnsi="Arial" w:cs="Arial"/>
          <w:b/>
          <w:bCs/>
          <w:sz w:val="20"/>
          <w:szCs w:val="20"/>
        </w:rPr>
        <w:t xml:space="preserve"> </w:t>
      </w:r>
      <w:r w:rsidR="00BB6A5E" w:rsidRPr="009E1CED">
        <w:rPr>
          <w:rFonts w:ascii="Arial" w:hAnsi="Arial" w:cs="Arial"/>
          <w:b/>
          <w:bCs/>
          <w:sz w:val="20"/>
          <w:szCs w:val="20"/>
        </w:rPr>
        <w:t>(Oral Presentation)</w:t>
      </w:r>
    </w:p>
    <w:bookmarkStart w:id="8" w:name="Author"/>
    <w:p w14:paraId="5321C673" w14:textId="77777777" w:rsidR="00E31FF4" w:rsidRPr="009E1CED" w:rsidRDefault="00000000" w:rsidP="00E31FF4">
      <w:pPr>
        <w:rPr>
          <w:rFonts w:ascii="Arial" w:hAnsi="Arial" w:cs="Arial"/>
          <w:sz w:val="20"/>
          <w:szCs w:val="20"/>
        </w:rPr>
      </w:pPr>
      <w:sdt>
        <w:sdtPr>
          <w:rPr>
            <w:rFonts w:ascii="Arial" w:hAnsi="Arial" w:cs="Arial"/>
            <w:b/>
            <w:bCs/>
            <w:sz w:val="20"/>
            <w:szCs w:val="20"/>
          </w:rPr>
          <w:alias w:val="Main Author"/>
          <w:tag w:val="Main Author"/>
          <w:id w:val="854543900"/>
          <w:placeholder>
            <w:docPart w:val="6F9C322EF884CE4B8DBC7049C6E6D072"/>
          </w:placeholder>
        </w:sdtPr>
        <w:sdtEndPr>
          <w:rPr>
            <w:b w:val="0"/>
            <w:bCs w:val="0"/>
          </w:rPr>
        </w:sdtEndPr>
        <w:sdtContent>
          <w:r w:rsidR="00E31FF4" w:rsidRPr="009E1CED">
            <w:rPr>
              <w:rFonts w:ascii="Arial" w:hAnsi="Arial" w:cs="Arial"/>
              <w:sz w:val="20"/>
              <w:szCs w:val="20"/>
            </w:rPr>
            <w:t>Francesca Buttini</w:t>
          </w:r>
        </w:sdtContent>
      </w:sdt>
      <w:bookmarkEnd w:id="8"/>
    </w:p>
    <w:p w14:paraId="51C705F1" w14:textId="77777777" w:rsidR="00E31FF4" w:rsidRPr="009E1CED" w:rsidRDefault="00E31FF4" w:rsidP="00E31FF4">
      <w:pPr>
        <w:rPr>
          <w:rFonts w:ascii="Arial" w:hAnsi="Arial" w:cs="Arial"/>
          <w:i/>
          <w:iCs/>
          <w:sz w:val="20"/>
          <w:szCs w:val="20"/>
        </w:rPr>
      </w:pPr>
      <w:r w:rsidRPr="009E1CED">
        <w:rPr>
          <w:rFonts w:ascii="Arial" w:hAnsi="Arial" w:cs="Arial"/>
          <w:i/>
          <w:iCs/>
          <w:sz w:val="20"/>
          <w:szCs w:val="20"/>
        </w:rPr>
        <w:t>Food and Drug Department, University of Parma, Parco Area delle Scienze 27/A, 43124 Parma</w:t>
      </w:r>
    </w:p>
    <w:p w14:paraId="590FBC17" w14:textId="77777777" w:rsidR="00560D82" w:rsidRPr="009E1CED" w:rsidRDefault="00560D82" w:rsidP="00E31FF4">
      <w:pPr>
        <w:rPr>
          <w:rFonts w:ascii="Arial" w:hAnsi="Arial" w:cs="Arial"/>
          <w:b/>
          <w:bCs/>
          <w:sz w:val="20"/>
          <w:szCs w:val="20"/>
        </w:rPr>
      </w:pPr>
      <w:r w:rsidRPr="009E1CED">
        <w:rPr>
          <w:rFonts w:ascii="Arial" w:hAnsi="Arial" w:cs="Arial"/>
          <w:b/>
          <w:bCs/>
          <w:sz w:val="20"/>
          <w:szCs w:val="20"/>
        </w:rPr>
        <w:t>Abstract</w:t>
      </w:r>
    </w:p>
    <w:p w14:paraId="1E52C3B6" w14:textId="4BB77BA8" w:rsidR="00E31FF4" w:rsidRPr="009E1CED" w:rsidRDefault="00E31FF4" w:rsidP="00AC3F4B">
      <w:pPr>
        <w:jc w:val="both"/>
        <w:rPr>
          <w:rFonts w:ascii="Arial" w:hAnsi="Arial" w:cs="Arial"/>
          <w:sz w:val="20"/>
          <w:szCs w:val="20"/>
        </w:rPr>
      </w:pPr>
      <w:r w:rsidRPr="009E1CED">
        <w:rPr>
          <w:rFonts w:ascii="Arial" w:hAnsi="Arial" w:cs="Arial"/>
          <w:sz w:val="20"/>
          <w:szCs w:val="20"/>
        </w:rPr>
        <w:t>For inhalation products, the most important step for testing in vitro performance is the deposition of API using a pharmaceutical impactor to estimate actual dose delivered to the target site of the lung. Hence, the collection of the respirable dose (&lt; 5µm) appears to be required in order to study the dissolution rate of relevant particles. An innovative dissolution apparatus (RespiCell™), designed by University of Parma and produced by DISA SRL (Milan, Italy) and suitable for the dissolution of the respirable fraction of API has been used. The presentation will illustrate different case studies where dissolution has been a useful tool in building the formulation towards the type of drug delivery required.</w:t>
      </w:r>
    </w:p>
    <w:p w14:paraId="682ADEFA" w14:textId="77777777" w:rsidR="00E31FF4" w:rsidRPr="009E1CED" w:rsidRDefault="00E31FF4" w:rsidP="00AC3F4B">
      <w:pPr>
        <w:jc w:val="both"/>
        <w:rPr>
          <w:rFonts w:ascii="Arial" w:hAnsi="Arial" w:cs="Arial"/>
          <w:sz w:val="20"/>
          <w:szCs w:val="20"/>
        </w:rPr>
      </w:pPr>
      <w:r w:rsidRPr="009E1CED">
        <w:rPr>
          <w:rFonts w:ascii="Arial" w:hAnsi="Arial" w:cs="Arial"/>
          <w:sz w:val="20"/>
          <w:szCs w:val="20"/>
        </w:rPr>
        <w:t xml:space="preserve">The investigation of tobramycin-based powders coated with magnesium stearate (MgSt) with the aim of slowing down the dissolution profile of the drug (2). The second example of application we report is the study of how the mixing process of a carrier lactose and a micronised API could impact the dissolution profile of the drug. </w:t>
      </w:r>
    </w:p>
    <w:p w14:paraId="4FB9100F" w14:textId="77777777" w:rsidR="00E31FF4" w:rsidRPr="009E1CED" w:rsidRDefault="00E31FF4" w:rsidP="00AC3F4B">
      <w:pPr>
        <w:jc w:val="both"/>
        <w:rPr>
          <w:rFonts w:ascii="Arial" w:hAnsi="Arial" w:cs="Arial"/>
          <w:sz w:val="20"/>
          <w:szCs w:val="20"/>
        </w:rPr>
      </w:pPr>
      <w:r w:rsidRPr="009E1CED">
        <w:rPr>
          <w:rFonts w:ascii="Arial" w:hAnsi="Arial" w:cs="Arial"/>
          <w:sz w:val="20"/>
          <w:szCs w:val="20"/>
        </w:rPr>
        <w:t>Then, the effect of the ethanol content in the feedstock solution and the addition of glycine along with mannitol on the CQAs (dissolution rated included) of Cyclosporine_A powders were investigated (3). Finally, a dry powder composed of mannitol microparticles carrying calcium phosphate nanoparticles (CaPNPs), has been developed for cardiac delivery of loaded bioactive peptide (4). In pulmonary simulated fluid, loaded CaPNPs released from mannitol microparticles retain most of the loaded drug and a quick release of the MP drug was observed at pH 4.5.</w:t>
      </w:r>
    </w:p>
    <w:p w14:paraId="09A9F73B" w14:textId="77777777" w:rsidR="00E31FF4" w:rsidRPr="009E1CED" w:rsidRDefault="00E31FF4" w:rsidP="00E31FF4">
      <w:pPr>
        <w:rPr>
          <w:rFonts w:ascii="Arial" w:hAnsi="Arial" w:cs="Arial"/>
          <w:sz w:val="20"/>
          <w:szCs w:val="20"/>
        </w:rPr>
      </w:pPr>
    </w:p>
    <w:p w14:paraId="587E3580" w14:textId="77777777" w:rsidR="00E31FF4" w:rsidRPr="009E1CED" w:rsidRDefault="00E31FF4" w:rsidP="00E31FF4">
      <w:pPr>
        <w:rPr>
          <w:rFonts w:ascii="Arial" w:hAnsi="Arial" w:cs="Arial"/>
          <w:sz w:val="20"/>
          <w:szCs w:val="20"/>
        </w:rPr>
      </w:pPr>
      <w:r w:rsidRPr="009E1CED">
        <w:rPr>
          <w:rFonts w:ascii="Arial" w:hAnsi="Arial" w:cs="Arial"/>
          <w:sz w:val="20"/>
          <w:szCs w:val="20"/>
        </w:rPr>
        <w:t>References</w:t>
      </w:r>
    </w:p>
    <w:p w14:paraId="7CD749A3" w14:textId="77777777" w:rsidR="00E31FF4" w:rsidRPr="009E1CED" w:rsidRDefault="00E31FF4" w:rsidP="00E31FF4">
      <w:pPr>
        <w:rPr>
          <w:rFonts w:ascii="Arial" w:hAnsi="Arial" w:cs="Arial"/>
          <w:sz w:val="20"/>
          <w:szCs w:val="20"/>
        </w:rPr>
      </w:pPr>
      <w:r w:rsidRPr="009E1CED">
        <w:rPr>
          <w:rFonts w:ascii="Arial" w:hAnsi="Arial" w:cs="Arial"/>
          <w:sz w:val="20"/>
          <w:szCs w:val="20"/>
        </w:rPr>
        <w:t>1. Forbes, B., Richer, N. H. &amp; Buttini, F. Dissolution: A Critical Performance Characteristic of Inhaled Products? 1–18 (2015).</w:t>
      </w:r>
    </w:p>
    <w:p w14:paraId="6A30DFC2" w14:textId="77777777" w:rsidR="00E31FF4" w:rsidRPr="009E1CED" w:rsidRDefault="00E31FF4" w:rsidP="00E31FF4">
      <w:pPr>
        <w:rPr>
          <w:rFonts w:ascii="Arial" w:hAnsi="Arial" w:cs="Arial"/>
          <w:sz w:val="20"/>
          <w:szCs w:val="20"/>
        </w:rPr>
      </w:pPr>
      <w:r w:rsidRPr="009E1CED">
        <w:rPr>
          <w:rFonts w:ascii="Arial" w:hAnsi="Arial" w:cs="Arial"/>
          <w:sz w:val="20"/>
          <w:szCs w:val="20"/>
        </w:rPr>
        <w:t>2. Sonvico, F. et al. RespiCell: An Innovative Dissolution Apparatus for Inhaled Products. Pharm 13, 1541 (2021).</w:t>
      </w:r>
    </w:p>
    <w:p w14:paraId="700504E4" w14:textId="77777777" w:rsidR="00E31FF4" w:rsidRPr="009E1CED" w:rsidRDefault="00E31FF4" w:rsidP="00E31FF4">
      <w:pPr>
        <w:rPr>
          <w:rFonts w:ascii="Arial" w:hAnsi="Arial" w:cs="Arial"/>
          <w:sz w:val="20"/>
          <w:szCs w:val="20"/>
        </w:rPr>
      </w:pPr>
      <w:r w:rsidRPr="009E1CED">
        <w:rPr>
          <w:rFonts w:ascii="Arial" w:hAnsi="Arial" w:cs="Arial"/>
          <w:sz w:val="20"/>
          <w:szCs w:val="20"/>
        </w:rPr>
        <w:t>3. D’Angelo, D. et al. An Enhanced Dissolving Cyclosporin-A Inhalable Powder Efficiently Reduces SARS-CoV-2 Infection In Vitro. Pharm 15, 1023 (2023).</w:t>
      </w:r>
    </w:p>
    <w:p w14:paraId="0B99A2DB" w14:textId="77777777" w:rsidR="00E31FF4" w:rsidRPr="009E1CED" w:rsidRDefault="00E31FF4" w:rsidP="00E31FF4">
      <w:pPr>
        <w:rPr>
          <w:rFonts w:ascii="Arial" w:hAnsi="Arial" w:cs="Arial"/>
          <w:sz w:val="20"/>
          <w:szCs w:val="20"/>
        </w:rPr>
      </w:pPr>
      <w:r w:rsidRPr="009E1CED">
        <w:rPr>
          <w:rFonts w:ascii="Arial" w:hAnsi="Arial" w:cs="Arial"/>
          <w:sz w:val="20"/>
          <w:szCs w:val="20"/>
        </w:rPr>
        <w:t>4. Quarta, E. et al. Dry powder inhalation technology for heart targeting applied to calcium phosphate nanoparticles loaded with active substances. J Drug Deliv Sci Tec 76, 103719 (2022).</w:t>
      </w:r>
    </w:p>
    <w:p w14:paraId="0B5000C5" w14:textId="77777777" w:rsidR="001F6FEE" w:rsidRPr="009E1CED" w:rsidRDefault="001F6FEE" w:rsidP="001F6FEE">
      <w:pPr>
        <w:jc w:val="both"/>
        <w:rPr>
          <w:rFonts w:ascii="Arial" w:hAnsi="Arial" w:cs="Arial"/>
          <w:sz w:val="20"/>
          <w:szCs w:val="20"/>
          <w:lang w:val="en-US"/>
        </w:rPr>
      </w:pPr>
    </w:p>
    <w:p w14:paraId="23BB3E27" w14:textId="121F54B5" w:rsidR="00E31FF4" w:rsidRPr="009E1CED" w:rsidRDefault="00E31FF4">
      <w:pPr>
        <w:rPr>
          <w:rFonts w:ascii="Arial" w:hAnsi="Arial" w:cs="Arial"/>
          <w:sz w:val="20"/>
          <w:szCs w:val="20"/>
        </w:rPr>
      </w:pPr>
    </w:p>
    <w:p w14:paraId="5701682A" w14:textId="77777777" w:rsidR="00E31FF4" w:rsidRPr="009E1CED" w:rsidRDefault="00E31FF4">
      <w:pPr>
        <w:spacing w:after="0" w:line="240" w:lineRule="auto"/>
        <w:rPr>
          <w:rFonts w:ascii="Arial" w:hAnsi="Arial" w:cs="Arial"/>
          <w:sz w:val="20"/>
          <w:szCs w:val="20"/>
        </w:rPr>
      </w:pPr>
      <w:r w:rsidRPr="009E1CED">
        <w:rPr>
          <w:rFonts w:ascii="Arial" w:hAnsi="Arial" w:cs="Arial"/>
          <w:sz w:val="20"/>
          <w:szCs w:val="20"/>
        </w:rPr>
        <w:br w:type="page"/>
      </w:r>
    </w:p>
    <w:p w14:paraId="15B49555" w14:textId="3F007088" w:rsidR="00E31FF4" w:rsidRPr="009E1CED" w:rsidRDefault="00E31FF4" w:rsidP="00E31FF4">
      <w:pPr>
        <w:rPr>
          <w:rFonts w:ascii="Arial" w:hAnsi="Arial" w:cs="Arial"/>
          <w:b/>
          <w:bCs/>
          <w:sz w:val="20"/>
          <w:szCs w:val="20"/>
        </w:rPr>
      </w:pPr>
      <w:r w:rsidRPr="009E1CED">
        <w:rPr>
          <w:rFonts w:ascii="Arial" w:hAnsi="Arial" w:cs="Arial"/>
          <w:b/>
          <w:bCs/>
          <w:sz w:val="20"/>
          <w:szCs w:val="20"/>
        </w:rPr>
        <w:lastRenderedPageBreak/>
        <w:t>Opportunities and Challenges of Nasal Drug Delivery</w:t>
      </w:r>
      <w:r w:rsidR="00BB6A5E" w:rsidRPr="009E1CED">
        <w:rPr>
          <w:rFonts w:ascii="Arial" w:hAnsi="Arial" w:cs="Arial"/>
          <w:b/>
          <w:bCs/>
          <w:sz w:val="20"/>
          <w:szCs w:val="20"/>
        </w:rPr>
        <w:t xml:space="preserve"> (Oral Presentation)</w:t>
      </w:r>
    </w:p>
    <w:p w14:paraId="4BD18870" w14:textId="77777777" w:rsidR="00E31FF4" w:rsidRPr="009E1CED" w:rsidRDefault="00E31FF4" w:rsidP="00E31FF4">
      <w:pPr>
        <w:rPr>
          <w:rFonts w:ascii="Arial" w:hAnsi="Arial" w:cs="Arial"/>
          <w:sz w:val="20"/>
          <w:szCs w:val="20"/>
        </w:rPr>
      </w:pPr>
      <w:r w:rsidRPr="009E1CED">
        <w:rPr>
          <w:rFonts w:ascii="Arial" w:hAnsi="Arial" w:cs="Arial"/>
          <w:sz w:val="20"/>
          <w:szCs w:val="20"/>
        </w:rPr>
        <w:t>Regina Scherließ</w:t>
      </w:r>
    </w:p>
    <w:p w14:paraId="145BE240" w14:textId="50030AE2" w:rsidR="00E31FF4" w:rsidRPr="009E1CED" w:rsidRDefault="00E31FF4" w:rsidP="00E31FF4">
      <w:pPr>
        <w:rPr>
          <w:rFonts w:ascii="Arial" w:hAnsi="Arial" w:cs="Arial"/>
          <w:i/>
          <w:iCs/>
          <w:sz w:val="20"/>
          <w:szCs w:val="20"/>
        </w:rPr>
      </w:pPr>
      <w:r w:rsidRPr="009E1CED">
        <w:rPr>
          <w:rFonts w:ascii="Arial" w:hAnsi="Arial" w:cs="Arial"/>
          <w:i/>
          <w:iCs/>
          <w:sz w:val="20"/>
          <w:szCs w:val="20"/>
        </w:rPr>
        <w:t>Department of Pharmaceutics and Biopharmaceutics, Kiel University, Germany</w:t>
      </w:r>
    </w:p>
    <w:p w14:paraId="6EF6713F" w14:textId="24F4E09B" w:rsidR="00BB6A5E" w:rsidRPr="009E1CED" w:rsidRDefault="00BB6A5E" w:rsidP="00BB6A5E">
      <w:pPr>
        <w:jc w:val="both"/>
        <w:rPr>
          <w:rFonts w:ascii="Arial" w:hAnsi="Arial" w:cs="Arial"/>
          <w:b/>
          <w:bCs/>
          <w:sz w:val="20"/>
          <w:szCs w:val="20"/>
        </w:rPr>
      </w:pPr>
      <w:r w:rsidRPr="009E1CED">
        <w:rPr>
          <w:rFonts w:ascii="Arial" w:hAnsi="Arial" w:cs="Arial"/>
          <w:b/>
          <w:bCs/>
          <w:sz w:val="20"/>
          <w:szCs w:val="20"/>
        </w:rPr>
        <w:t>Abstract</w:t>
      </w:r>
    </w:p>
    <w:p w14:paraId="24037A15" w14:textId="77777777" w:rsidR="00E31FF4" w:rsidRPr="009E1CED" w:rsidRDefault="00E31FF4" w:rsidP="00E31FF4">
      <w:pPr>
        <w:jc w:val="both"/>
        <w:rPr>
          <w:rFonts w:ascii="Arial" w:hAnsi="Arial" w:cs="Arial"/>
          <w:sz w:val="20"/>
          <w:szCs w:val="20"/>
        </w:rPr>
      </w:pPr>
      <w:r w:rsidRPr="009E1CED">
        <w:rPr>
          <w:rFonts w:ascii="Arial" w:hAnsi="Arial" w:cs="Arial"/>
          <w:sz w:val="20"/>
          <w:szCs w:val="20"/>
        </w:rPr>
        <w:t xml:space="preserve">The nose is part of the upper respiratory tract and normal inhalation always happens via the nose. Despite a focus on the lung when considering respiratory drug delivery, nasal drug delivery has long been used for local treatment of sinusitis and allergy symptoms. Also, systemically acting proteins such as calcitonin are delivered via the nasal route. In recent years, this route of administration has experienced increasing interest especially for systemic delivery of both new and repurposed drugs and biologics. Further areas of interest include emergency treatment, nose-to-brain delivery and nasal vaccination. The latter has especially been discussed in the course of the recent SARS-CoV-2 pandemic. </w:t>
      </w:r>
    </w:p>
    <w:p w14:paraId="346F4063" w14:textId="77777777" w:rsidR="00E31FF4" w:rsidRPr="009E1CED" w:rsidRDefault="00E31FF4" w:rsidP="00E31FF4">
      <w:pPr>
        <w:jc w:val="both"/>
        <w:rPr>
          <w:rFonts w:ascii="Arial" w:hAnsi="Arial" w:cs="Arial"/>
          <w:sz w:val="20"/>
          <w:szCs w:val="20"/>
        </w:rPr>
      </w:pPr>
      <w:r w:rsidRPr="009E1CED">
        <w:rPr>
          <w:rFonts w:ascii="Arial" w:hAnsi="Arial" w:cs="Arial"/>
          <w:sz w:val="20"/>
          <w:szCs w:val="20"/>
        </w:rPr>
        <w:t xml:space="preserve">The nose is an easily accessible application site, which offers rapid systemic absorption and is well equipped with immunocompetent cells. However, its inner surface is small compared to the lung and due to the nasal clearance, nasal residence time is rather short. This leads to specific requirements for the dosage form such as the use of mucoadhesive excipients. As in oral inhalation, the device is an important part of the product as it determines droplet size, spray pattern and velocity of the delivered dose and with this impacts nasal deposition. Most nasal products are multidose liquid nasal sprays, but increasing interest is observed in the area of nasal powders. For such formulations, little is known about choice and impact of excipients on mucoadhesion, dissolution and permeation and the same holds true for particle properties potentially guiding regional deposition. </w:t>
      </w:r>
    </w:p>
    <w:p w14:paraId="0FDFA73C" w14:textId="479EACFD" w:rsidR="0065263E" w:rsidRPr="009E1CED" w:rsidRDefault="0065263E">
      <w:pPr>
        <w:rPr>
          <w:rFonts w:ascii="Arial" w:hAnsi="Arial" w:cs="Arial"/>
          <w:sz w:val="20"/>
          <w:szCs w:val="20"/>
        </w:rPr>
      </w:pPr>
    </w:p>
    <w:p w14:paraId="2D5F436C" w14:textId="77777777" w:rsidR="0065263E" w:rsidRPr="009E1CED" w:rsidRDefault="0065263E">
      <w:pPr>
        <w:spacing w:after="0" w:line="240" w:lineRule="auto"/>
        <w:rPr>
          <w:rFonts w:ascii="Arial" w:hAnsi="Arial" w:cs="Arial"/>
          <w:sz w:val="20"/>
          <w:szCs w:val="20"/>
        </w:rPr>
      </w:pPr>
      <w:r w:rsidRPr="009E1CED">
        <w:rPr>
          <w:rFonts w:ascii="Arial" w:hAnsi="Arial" w:cs="Arial"/>
          <w:sz w:val="20"/>
          <w:szCs w:val="20"/>
        </w:rPr>
        <w:br w:type="page"/>
      </w:r>
    </w:p>
    <w:p w14:paraId="5B135144" w14:textId="58833925" w:rsidR="00B7353D" w:rsidRPr="009E1CED" w:rsidRDefault="00B7353D">
      <w:pPr>
        <w:rPr>
          <w:rFonts w:ascii="Arial" w:hAnsi="Arial" w:cs="Arial"/>
          <w:b/>
          <w:bCs/>
          <w:i/>
          <w:iCs/>
          <w:sz w:val="20"/>
          <w:szCs w:val="20"/>
        </w:rPr>
      </w:pPr>
      <w:r w:rsidRPr="009E1CED">
        <w:rPr>
          <w:rFonts w:ascii="Arial" w:hAnsi="Arial" w:cs="Arial"/>
          <w:b/>
          <w:bCs/>
          <w:sz w:val="20"/>
          <w:szCs w:val="20"/>
        </w:rPr>
        <w:lastRenderedPageBreak/>
        <w:t>Allergic Rhinitis Nasal Spray Market Overview &amp; Generic Development Best Practices</w:t>
      </w:r>
      <w:r w:rsidRPr="009E1CED">
        <w:rPr>
          <w:rFonts w:ascii="Arial" w:hAnsi="Arial" w:cs="Arial"/>
          <w:b/>
          <w:bCs/>
          <w:i/>
          <w:iCs/>
          <w:sz w:val="20"/>
          <w:szCs w:val="20"/>
        </w:rPr>
        <w:t xml:space="preserve">. </w:t>
      </w:r>
      <w:r w:rsidR="00E42844" w:rsidRPr="009E1CED">
        <w:rPr>
          <w:rFonts w:ascii="Arial" w:hAnsi="Arial" w:cs="Arial"/>
          <w:b/>
          <w:bCs/>
          <w:sz w:val="20"/>
          <w:szCs w:val="20"/>
        </w:rPr>
        <w:t>(Oral Presentation)</w:t>
      </w:r>
    </w:p>
    <w:p w14:paraId="251F94DD" w14:textId="3DB16F9B" w:rsidR="001F6FEE" w:rsidRPr="009E1CED" w:rsidRDefault="0065263E">
      <w:pPr>
        <w:rPr>
          <w:rFonts w:ascii="Arial" w:hAnsi="Arial" w:cs="Arial"/>
          <w:sz w:val="20"/>
          <w:szCs w:val="20"/>
        </w:rPr>
      </w:pPr>
      <w:r w:rsidRPr="009E1CED">
        <w:rPr>
          <w:rFonts w:ascii="Arial" w:hAnsi="Arial" w:cs="Arial"/>
          <w:sz w:val="20"/>
          <w:szCs w:val="20"/>
        </w:rPr>
        <w:t xml:space="preserve">Jeremy Paulen &amp; Dr. Irene </w:t>
      </w:r>
    </w:p>
    <w:p w14:paraId="5E35CF79" w14:textId="59AF90E5" w:rsidR="0065263E" w:rsidRPr="009E1CED" w:rsidRDefault="0065263E">
      <w:pPr>
        <w:rPr>
          <w:rFonts w:ascii="Arial" w:hAnsi="Arial" w:cs="Arial"/>
          <w:b/>
          <w:bCs/>
          <w:sz w:val="20"/>
          <w:szCs w:val="20"/>
        </w:rPr>
      </w:pPr>
    </w:p>
    <w:p w14:paraId="3F56873E" w14:textId="77777777" w:rsidR="0065263E" w:rsidRPr="009E1CED" w:rsidRDefault="0065263E">
      <w:pPr>
        <w:spacing w:after="0" w:line="240" w:lineRule="auto"/>
        <w:rPr>
          <w:rFonts w:ascii="Arial" w:hAnsi="Arial" w:cs="Arial"/>
          <w:b/>
          <w:bCs/>
          <w:sz w:val="20"/>
          <w:szCs w:val="20"/>
        </w:rPr>
      </w:pPr>
      <w:r w:rsidRPr="009E1CED">
        <w:rPr>
          <w:rFonts w:ascii="Arial" w:hAnsi="Arial" w:cs="Arial"/>
          <w:b/>
          <w:bCs/>
          <w:sz w:val="20"/>
          <w:szCs w:val="20"/>
        </w:rPr>
        <w:br w:type="page"/>
      </w:r>
    </w:p>
    <w:p w14:paraId="6C02D53E" w14:textId="43BB9266" w:rsidR="00EF1784" w:rsidRPr="00EF1784" w:rsidRDefault="00EF1784" w:rsidP="00EF1784">
      <w:pPr>
        <w:rPr>
          <w:rFonts w:ascii="Arial" w:hAnsi="Arial" w:cs="Arial"/>
          <w:b/>
          <w:bCs/>
          <w:sz w:val="20"/>
          <w:szCs w:val="20"/>
        </w:rPr>
      </w:pPr>
      <w:r w:rsidRPr="00EF1784">
        <w:rPr>
          <w:rFonts w:ascii="Arial" w:hAnsi="Arial" w:cs="Arial"/>
          <w:b/>
          <w:bCs/>
          <w:sz w:val="20"/>
          <w:szCs w:val="20"/>
        </w:rPr>
        <w:lastRenderedPageBreak/>
        <w:t>Generic Nasal Drug Development Following EMA Regulations</w:t>
      </w:r>
    </w:p>
    <w:p w14:paraId="339E4450" w14:textId="6915C97D" w:rsidR="0065263E" w:rsidRPr="009E1CED" w:rsidRDefault="0065263E">
      <w:pPr>
        <w:rPr>
          <w:rFonts w:ascii="Arial" w:hAnsi="Arial" w:cs="Arial"/>
          <w:sz w:val="20"/>
          <w:szCs w:val="20"/>
        </w:rPr>
      </w:pPr>
      <w:r w:rsidRPr="009E1CED">
        <w:rPr>
          <w:rFonts w:ascii="Arial" w:hAnsi="Arial" w:cs="Arial"/>
          <w:sz w:val="20"/>
          <w:szCs w:val="20"/>
        </w:rPr>
        <w:t>F</w:t>
      </w:r>
      <w:r w:rsidR="00D1041C" w:rsidRPr="009E1CED">
        <w:rPr>
          <w:rFonts w:ascii="Arial" w:hAnsi="Arial" w:cs="Arial"/>
          <w:sz w:val="20"/>
          <w:szCs w:val="20"/>
        </w:rPr>
        <w:t>i</w:t>
      </w:r>
      <w:r w:rsidRPr="009E1CED">
        <w:rPr>
          <w:rFonts w:ascii="Arial" w:hAnsi="Arial" w:cs="Arial"/>
          <w:sz w:val="20"/>
          <w:szCs w:val="20"/>
        </w:rPr>
        <w:t>gen Onur Gören</w:t>
      </w:r>
    </w:p>
    <w:p w14:paraId="6918043E" w14:textId="0B6E2E1C" w:rsidR="0065263E" w:rsidRPr="009E1CED" w:rsidRDefault="0065263E">
      <w:pPr>
        <w:rPr>
          <w:rFonts w:ascii="Arial" w:hAnsi="Arial" w:cs="Arial"/>
          <w:b/>
          <w:bCs/>
          <w:sz w:val="20"/>
          <w:szCs w:val="20"/>
          <w:highlight w:val="yellow"/>
        </w:rPr>
      </w:pPr>
    </w:p>
    <w:p w14:paraId="1CEB9F3F" w14:textId="77777777" w:rsidR="0065263E" w:rsidRPr="009E1CED" w:rsidRDefault="0065263E">
      <w:pPr>
        <w:spacing w:after="0" w:line="240" w:lineRule="auto"/>
        <w:rPr>
          <w:rFonts w:ascii="Arial" w:hAnsi="Arial" w:cs="Arial"/>
          <w:b/>
          <w:bCs/>
          <w:sz w:val="20"/>
          <w:szCs w:val="20"/>
          <w:highlight w:val="yellow"/>
        </w:rPr>
      </w:pPr>
      <w:r w:rsidRPr="009E1CED">
        <w:rPr>
          <w:rFonts w:ascii="Arial" w:hAnsi="Arial" w:cs="Arial"/>
          <w:b/>
          <w:bCs/>
          <w:sz w:val="20"/>
          <w:szCs w:val="20"/>
          <w:highlight w:val="yellow"/>
        </w:rPr>
        <w:br w:type="page"/>
      </w:r>
    </w:p>
    <w:p w14:paraId="44505AC8" w14:textId="2D95B275" w:rsidR="00EF1784" w:rsidRPr="0017237C" w:rsidRDefault="00EF1784" w:rsidP="00EF1784">
      <w:pPr>
        <w:spacing w:after="0" w:line="240" w:lineRule="auto"/>
        <w:rPr>
          <w:rFonts w:ascii="Arial" w:hAnsi="Arial" w:cs="Arial"/>
          <w:b/>
          <w:bCs/>
          <w:sz w:val="20"/>
          <w:szCs w:val="20"/>
        </w:rPr>
      </w:pPr>
      <w:r w:rsidRPr="0017237C">
        <w:rPr>
          <w:rFonts w:ascii="Arial" w:hAnsi="Arial" w:cs="Arial"/>
          <w:b/>
          <w:bCs/>
          <w:sz w:val="20"/>
          <w:szCs w:val="20"/>
        </w:rPr>
        <w:lastRenderedPageBreak/>
        <w:t>Latest trends in the development of dry powder formulation for pulmonary and nasal</w:t>
      </w:r>
    </w:p>
    <w:p w14:paraId="59B79534" w14:textId="0F9C1325" w:rsidR="00EF1784" w:rsidRPr="0017237C" w:rsidRDefault="00EF1784" w:rsidP="00EF1784">
      <w:pPr>
        <w:spacing w:after="0" w:line="240" w:lineRule="auto"/>
        <w:rPr>
          <w:rFonts w:ascii="Arial" w:hAnsi="Arial" w:cs="Arial"/>
          <w:b/>
          <w:bCs/>
          <w:sz w:val="20"/>
          <w:szCs w:val="20"/>
        </w:rPr>
      </w:pPr>
      <w:r w:rsidRPr="0017237C">
        <w:rPr>
          <w:rFonts w:ascii="Arial" w:hAnsi="Arial" w:cs="Arial"/>
          <w:b/>
          <w:bCs/>
          <w:sz w:val="20"/>
          <w:szCs w:val="20"/>
        </w:rPr>
        <w:t>delivery (Oral Presentation)</w:t>
      </w:r>
    </w:p>
    <w:p w14:paraId="1528B4EC" w14:textId="77777777" w:rsidR="0017237C" w:rsidRDefault="0017237C" w:rsidP="00EF1784">
      <w:pPr>
        <w:spacing w:after="0" w:line="240" w:lineRule="auto"/>
        <w:rPr>
          <w:rFonts w:ascii="Arial" w:hAnsi="Arial" w:cs="Arial"/>
          <w:sz w:val="20"/>
          <w:szCs w:val="20"/>
        </w:rPr>
      </w:pPr>
    </w:p>
    <w:p w14:paraId="13FE8963" w14:textId="3AADEB2C" w:rsidR="0017237C" w:rsidRPr="00FE786D" w:rsidRDefault="0017237C" w:rsidP="0017237C">
      <w:pPr>
        <w:rPr>
          <w:rFonts w:ascii="Arial" w:hAnsi="Arial" w:cs="Arial"/>
          <w:sz w:val="20"/>
          <w:szCs w:val="20"/>
        </w:rPr>
      </w:pPr>
      <w:r w:rsidRPr="00FE786D">
        <w:rPr>
          <w:rFonts w:ascii="Arial" w:hAnsi="Arial" w:cs="Arial"/>
          <w:sz w:val="20"/>
          <w:szCs w:val="20"/>
        </w:rPr>
        <w:t xml:space="preserve">Patrick Goncalves </w:t>
      </w:r>
    </w:p>
    <w:p w14:paraId="269079C4" w14:textId="55B175BC" w:rsidR="00EF1784" w:rsidRPr="00FE786D" w:rsidRDefault="0017237C" w:rsidP="00EF1784">
      <w:pPr>
        <w:spacing w:after="0" w:line="240" w:lineRule="auto"/>
        <w:rPr>
          <w:rFonts w:ascii="Arial" w:hAnsi="Arial" w:cs="Arial"/>
          <w:i/>
          <w:iCs/>
          <w:sz w:val="20"/>
          <w:szCs w:val="20"/>
        </w:rPr>
      </w:pPr>
      <w:r w:rsidRPr="00FE786D">
        <w:rPr>
          <w:rFonts w:ascii="Arial" w:hAnsi="Arial" w:cs="Arial"/>
          <w:i/>
          <w:iCs/>
          <w:sz w:val="20"/>
          <w:szCs w:val="20"/>
        </w:rPr>
        <w:t>Catalent, Germany</w:t>
      </w:r>
    </w:p>
    <w:p w14:paraId="60CEE713" w14:textId="77777777" w:rsidR="0017237C" w:rsidRDefault="0017237C" w:rsidP="0017237C">
      <w:pPr>
        <w:spacing w:after="0" w:line="240" w:lineRule="auto"/>
        <w:rPr>
          <w:rFonts w:ascii="Arial" w:hAnsi="Arial" w:cs="Arial"/>
          <w:sz w:val="20"/>
          <w:szCs w:val="20"/>
        </w:rPr>
      </w:pPr>
    </w:p>
    <w:p w14:paraId="491644E9" w14:textId="77777777" w:rsidR="00FE786D" w:rsidRPr="009E1CED" w:rsidRDefault="00FE786D" w:rsidP="00FE786D">
      <w:pPr>
        <w:jc w:val="both"/>
        <w:rPr>
          <w:rFonts w:ascii="Arial" w:hAnsi="Arial" w:cs="Arial"/>
          <w:b/>
          <w:bCs/>
          <w:sz w:val="20"/>
          <w:szCs w:val="20"/>
        </w:rPr>
      </w:pPr>
      <w:r w:rsidRPr="009E1CED">
        <w:rPr>
          <w:rFonts w:ascii="Arial" w:hAnsi="Arial" w:cs="Arial"/>
          <w:b/>
          <w:bCs/>
          <w:sz w:val="20"/>
          <w:szCs w:val="20"/>
        </w:rPr>
        <w:t>Abstract</w:t>
      </w:r>
    </w:p>
    <w:p w14:paraId="1FA2F178" w14:textId="77777777" w:rsidR="00FE786D" w:rsidRDefault="00FE786D" w:rsidP="0017237C">
      <w:pPr>
        <w:spacing w:after="0" w:line="240" w:lineRule="auto"/>
        <w:rPr>
          <w:rFonts w:ascii="Arial" w:hAnsi="Arial" w:cs="Arial"/>
          <w:sz w:val="20"/>
          <w:szCs w:val="20"/>
        </w:rPr>
      </w:pPr>
    </w:p>
    <w:p w14:paraId="4B7A4AD5" w14:textId="43FEFEE0" w:rsidR="00EF1784" w:rsidRPr="0017237C" w:rsidRDefault="00EF1784" w:rsidP="0017237C">
      <w:pPr>
        <w:spacing w:after="0" w:line="240" w:lineRule="auto"/>
        <w:jc w:val="both"/>
        <w:rPr>
          <w:rFonts w:ascii="Arial" w:hAnsi="Arial" w:cs="Arial"/>
          <w:sz w:val="20"/>
          <w:szCs w:val="20"/>
        </w:rPr>
      </w:pPr>
      <w:r w:rsidRPr="0017237C">
        <w:rPr>
          <w:rFonts w:ascii="Arial" w:hAnsi="Arial" w:cs="Arial"/>
          <w:sz w:val="20"/>
          <w:szCs w:val="20"/>
        </w:rPr>
        <w:t>Currently, 50% of all FDA approvals are for biological drugs, the majority of which are</w:t>
      </w:r>
      <w:r w:rsidR="0017237C" w:rsidRPr="0017237C">
        <w:rPr>
          <w:rFonts w:ascii="Arial" w:hAnsi="Arial" w:cs="Arial"/>
          <w:sz w:val="20"/>
          <w:szCs w:val="20"/>
        </w:rPr>
        <w:t xml:space="preserve"> </w:t>
      </w:r>
      <w:r w:rsidRPr="0017237C">
        <w:rPr>
          <w:rFonts w:ascii="Arial" w:hAnsi="Arial" w:cs="Arial"/>
          <w:sz w:val="20"/>
          <w:szCs w:val="20"/>
        </w:rPr>
        <w:t>delivered</w:t>
      </w:r>
      <w:r w:rsidR="0017237C">
        <w:rPr>
          <w:rFonts w:ascii="Arial" w:hAnsi="Arial" w:cs="Arial"/>
          <w:sz w:val="20"/>
          <w:szCs w:val="20"/>
        </w:rPr>
        <w:t xml:space="preserve"> </w:t>
      </w:r>
      <w:r w:rsidRPr="0017237C">
        <w:rPr>
          <w:rFonts w:ascii="Arial" w:hAnsi="Arial" w:cs="Arial"/>
          <w:sz w:val="20"/>
          <w:szCs w:val="20"/>
        </w:rPr>
        <w:t>parenterally. Pulmonary delivery of biologics dates back to the early 1990s; yet,</w:t>
      </w:r>
      <w:r w:rsidR="0017237C">
        <w:rPr>
          <w:rFonts w:ascii="Arial" w:hAnsi="Arial" w:cs="Arial"/>
          <w:sz w:val="20"/>
          <w:szCs w:val="20"/>
        </w:rPr>
        <w:t xml:space="preserve"> </w:t>
      </w:r>
      <w:r w:rsidRPr="0017237C">
        <w:rPr>
          <w:rFonts w:ascii="Arial" w:hAnsi="Arial" w:cs="Arial"/>
          <w:sz w:val="20"/>
          <w:szCs w:val="20"/>
        </w:rPr>
        <w:t>despite its attractiveness for both local and systemic delivery of biologics, only a handful of</w:t>
      </w:r>
      <w:r w:rsidR="0017237C">
        <w:rPr>
          <w:rFonts w:ascii="Arial" w:hAnsi="Arial" w:cs="Arial"/>
          <w:sz w:val="20"/>
          <w:szCs w:val="20"/>
        </w:rPr>
        <w:t xml:space="preserve"> </w:t>
      </w:r>
      <w:r w:rsidRPr="0017237C">
        <w:rPr>
          <w:rFonts w:ascii="Arial" w:hAnsi="Arial" w:cs="Arial"/>
          <w:sz w:val="20"/>
          <w:szCs w:val="20"/>
        </w:rPr>
        <w:t>inhaled biologics have been developed and approved. This talk will review the current market</w:t>
      </w:r>
      <w:r w:rsidR="0017237C">
        <w:rPr>
          <w:rFonts w:ascii="Arial" w:hAnsi="Arial" w:cs="Arial"/>
          <w:sz w:val="20"/>
          <w:szCs w:val="20"/>
        </w:rPr>
        <w:t xml:space="preserve"> </w:t>
      </w:r>
      <w:r w:rsidRPr="0017237C">
        <w:rPr>
          <w:rFonts w:ascii="Arial" w:hAnsi="Arial" w:cs="Arial"/>
          <w:sz w:val="20"/>
          <w:szCs w:val="20"/>
        </w:rPr>
        <w:t>landscape of inhaled biologics under development and discuss the current manufacturing</w:t>
      </w:r>
      <w:r w:rsidR="0017237C">
        <w:rPr>
          <w:rFonts w:ascii="Arial" w:hAnsi="Arial" w:cs="Arial"/>
          <w:sz w:val="20"/>
          <w:szCs w:val="20"/>
        </w:rPr>
        <w:t xml:space="preserve"> </w:t>
      </w:r>
      <w:r w:rsidRPr="0017237C">
        <w:rPr>
          <w:rFonts w:ascii="Arial" w:hAnsi="Arial" w:cs="Arial"/>
          <w:sz w:val="20"/>
          <w:szCs w:val="20"/>
        </w:rPr>
        <w:t>technologies being used.</w:t>
      </w:r>
    </w:p>
    <w:p w14:paraId="6F92E2FF" w14:textId="0B9D452C" w:rsidR="0065263E" w:rsidRPr="009E1CED" w:rsidRDefault="0065263E">
      <w:pPr>
        <w:rPr>
          <w:rFonts w:ascii="Arial" w:hAnsi="Arial" w:cs="Arial"/>
          <w:b/>
          <w:bCs/>
          <w:sz w:val="20"/>
          <w:szCs w:val="20"/>
          <w:highlight w:val="yellow"/>
        </w:rPr>
      </w:pPr>
    </w:p>
    <w:p w14:paraId="2B735F16" w14:textId="551FE992" w:rsidR="0065263E" w:rsidRPr="009E1CED" w:rsidRDefault="0065263E" w:rsidP="00EF1784">
      <w:pPr>
        <w:spacing w:after="0" w:line="240" w:lineRule="auto"/>
        <w:rPr>
          <w:rFonts w:ascii="Arial" w:hAnsi="Arial" w:cs="Arial"/>
          <w:b/>
          <w:bCs/>
          <w:sz w:val="20"/>
          <w:szCs w:val="20"/>
          <w:highlight w:val="yellow"/>
        </w:rPr>
      </w:pPr>
      <w:r w:rsidRPr="009E1CED">
        <w:rPr>
          <w:rFonts w:ascii="Arial" w:hAnsi="Arial" w:cs="Arial"/>
          <w:b/>
          <w:bCs/>
          <w:sz w:val="20"/>
          <w:szCs w:val="20"/>
          <w:highlight w:val="yellow"/>
        </w:rPr>
        <w:br w:type="page"/>
      </w:r>
    </w:p>
    <w:p w14:paraId="51535053" w14:textId="08A2A439" w:rsidR="00B7353D" w:rsidRPr="009E1CED" w:rsidRDefault="00B7353D">
      <w:pPr>
        <w:rPr>
          <w:rFonts w:ascii="Arial" w:hAnsi="Arial" w:cs="Arial"/>
          <w:b/>
          <w:bCs/>
          <w:sz w:val="20"/>
          <w:szCs w:val="20"/>
          <w:lang w:val="tr-TR"/>
        </w:rPr>
      </w:pPr>
      <w:r w:rsidRPr="009E1CED">
        <w:rPr>
          <w:rFonts w:ascii="Arial" w:hAnsi="Arial" w:cs="Arial"/>
          <w:b/>
          <w:bCs/>
          <w:sz w:val="20"/>
          <w:szCs w:val="20"/>
          <w:lang w:val="tr-TR"/>
        </w:rPr>
        <w:lastRenderedPageBreak/>
        <w:t>Spray Characterization for In Vitro Bioequivalence (Oral Presentation)</w:t>
      </w:r>
    </w:p>
    <w:p w14:paraId="3F49C1D1" w14:textId="1874BBBF" w:rsidR="0065263E" w:rsidRPr="009E1CED" w:rsidRDefault="0065263E">
      <w:pPr>
        <w:rPr>
          <w:rFonts w:ascii="Arial" w:hAnsi="Arial" w:cs="Arial"/>
          <w:sz w:val="20"/>
          <w:szCs w:val="20"/>
          <w:lang w:val="en-US"/>
        </w:rPr>
      </w:pPr>
      <w:r w:rsidRPr="009E1CED">
        <w:rPr>
          <w:rFonts w:ascii="Arial" w:hAnsi="Arial" w:cs="Arial"/>
          <w:sz w:val="20"/>
          <w:szCs w:val="20"/>
          <w:lang w:val="en-US"/>
        </w:rPr>
        <w:t>Deborah Jones</w:t>
      </w:r>
    </w:p>
    <w:p w14:paraId="6771FDB3" w14:textId="5F710C84" w:rsidR="0065263E" w:rsidRPr="009E1CED" w:rsidRDefault="0065263E" w:rsidP="0065263E">
      <w:pPr>
        <w:rPr>
          <w:rFonts w:ascii="Arial" w:hAnsi="Arial" w:cs="Arial"/>
          <w:i/>
          <w:iCs/>
          <w:sz w:val="20"/>
          <w:szCs w:val="20"/>
          <w:lang w:val="en-US"/>
        </w:rPr>
      </w:pPr>
      <w:r w:rsidRPr="009E1CED">
        <w:rPr>
          <w:rFonts w:ascii="Arial" w:hAnsi="Arial" w:cs="Arial"/>
          <w:i/>
          <w:iCs/>
          <w:sz w:val="20"/>
          <w:szCs w:val="20"/>
          <w:lang w:val="en-US"/>
        </w:rPr>
        <w:t>Proveris Scientific</w:t>
      </w:r>
      <w:r w:rsidR="00B7353D" w:rsidRPr="009E1CED">
        <w:rPr>
          <w:rFonts w:ascii="Arial" w:hAnsi="Arial" w:cs="Arial"/>
          <w:i/>
          <w:iCs/>
          <w:sz w:val="20"/>
          <w:szCs w:val="20"/>
          <w:lang w:val="en-US"/>
        </w:rPr>
        <w:t>, UK</w:t>
      </w:r>
    </w:p>
    <w:p w14:paraId="2E42C711" w14:textId="08A8AE6F" w:rsidR="00B7353D" w:rsidRPr="009E1CED" w:rsidRDefault="00B7353D" w:rsidP="0065263E">
      <w:pPr>
        <w:rPr>
          <w:rFonts w:ascii="Arial" w:hAnsi="Arial" w:cs="Arial"/>
          <w:b/>
          <w:bCs/>
          <w:sz w:val="20"/>
          <w:szCs w:val="20"/>
          <w:lang w:val="en-US"/>
        </w:rPr>
      </w:pPr>
      <w:r w:rsidRPr="009E1CED">
        <w:rPr>
          <w:rFonts w:ascii="Arial" w:hAnsi="Arial" w:cs="Arial"/>
          <w:b/>
          <w:bCs/>
          <w:sz w:val="20"/>
          <w:szCs w:val="20"/>
          <w:lang w:val="en-US"/>
        </w:rPr>
        <w:t>Abstract</w:t>
      </w:r>
    </w:p>
    <w:p w14:paraId="129CE5B5" w14:textId="77777777" w:rsidR="00B7353D" w:rsidRPr="009E1CED" w:rsidRDefault="00B7353D" w:rsidP="00B7353D">
      <w:pPr>
        <w:rPr>
          <w:rFonts w:ascii="Arial" w:hAnsi="Arial" w:cs="Arial"/>
          <w:color w:val="222222"/>
          <w:sz w:val="20"/>
          <w:szCs w:val="20"/>
          <w:shd w:val="clear" w:color="auto" w:fill="FFFFFF"/>
        </w:rPr>
      </w:pPr>
      <w:r w:rsidRPr="009E1CED">
        <w:rPr>
          <w:rFonts w:ascii="Arial" w:hAnsi="Arial" w:cs="Arial"/>
          <w:color w:val="222222"/>
          <w:sz w:val="20"/>
          <w:szCs w:val="20"/>
          <w:shd w:val="clear" w:color="auto" w:fill="FFFFFF"/>
        </w:rPr>
        <w:t>Developing a new or generic nasal spray or inhaled drug product is complex. This presentation will highlight the importance of using rapid spray characterization techniques as a screening tool for device and formulation selection to achieve successful in vitro bioequivalence.</w:t>
      </w:r>
    </w:p>
    <w:p w14:paraId="794055CC" w14:textId="6B3571AC" w:rsidR="00B7353D" w:rsidRPr="009E1CED" w:rsidRDefault="00B7353D" w:rsidP="00B7353D">
      <w:pPr>
        <w:rPr>
          <w:rFonts w:ascii="Arial" w:hAnsi="Arial" w:cs="Arial"/>
          <w:sz w:val="20"/>
          <w:szCs w:val="20"/>
          <w:lang w:val="tr-TR"/>
        </w:rPr>
      </w:pPr>
    </w:p>
    <w:p w14:paraId="54D0C146" w14:textId="77777777" w:rsidR="00B63021" w:rsidRDefault="00B63021" w:rsidP="00B63021">
      <w:pPr>
        <w:spacing w:after="0" w:line="240" w:lineRule="auto"/>
        <w:rPr>
          <w:rFonts w:ascii="Arial" w:hAnsi="Arial" w:cs="Arial"/>
          <w:sz w:val="20"/>
          <w:szCs w:val="20"/>
          <w:lang w:val="tr-TR"/>
        </w:rPr>
      </w:pPr>
    </w:p>
    <w:p w14:paraId="206CFAE5" w14:textId="77777777" w:rsidR="00B63021" w:rsidRDefault="00B63021" w:rsidP="00B63021">
      <w:pPr>
        <w:spacing w:after="0" w:line="240" w:lineRule="auto"/>
        <w:rPr>
          <w:rFonts w:ascii="Arial" w:hAnsi="Arial" w:cs="Arial"/>
          <w:sz w:val="20"/>
          <w:szCs w:val="20"/>
          <w:lang w:val="tr-TR"/>
        </w:rPr>
      </w:pPr>
    </w:p>
    <w:p w14:paraId="66E6A4ED" w14:textId="77777777" w:rsidR="00B63021" w:rsidRDefault="00B63021" w:rsidP="00B63021">
      <w:pPr>
        <w:spacing w:after="0" w:line="240" w:lineRule="auto"/>
        <w:rPr>
          <w:rFonts w:ascii="Arial" w:hAnsi="Arial" w:cs="Arial"/>
          <w:sz w:val="20"/>
          <w:szCs w:val="20"/>
          <w:lang w:val="tr-TR"/>
        </w:rPr>
      </w:pPr>
    </w:p>
    <w:p w14:paraId="1D4755FA" w14:textId="77777777" w:rsidR="00B63021" w:rsidRDefault="00B63021" w:rsidP="00B63021">
      <w:pPr>
        <w:spacing w:after="0" w:line="240" w:lineRule="auto"/>
        <w:rPr>
          <w:rFonts w:ascii="Arial" w:hAnsi="Arial" w:cs="Arial"/>
          <w:sz w:val="20"/>
          <w:szCs w:val="20"/>
          <w:lang w:val="tr-TR"/>
        </w:rPr>
      </w:pPr>
    </w:p>
    <w:p w14:paraId="7FDD3973" w14:textId="77777777" w:rsidR="00B63021" w:rsidRDefault="00B63021" w:rsidP="00B63021">
      <w:pPr>
        <w:spacing w:after="0" w:line="240" w:lineRule="auto"/>
        <w:rPr>
          <w:rFonts w:ascii="Arial" w:hAnsi="Arial" w:cs="Arial"/>
          <w:sz w:val="20"/>
          <w:szCs w:val="20"/>
          <w:lang w:val="tr-TR"/>
        </w:rPr>
      </w:pPr>
    </w:p>
    <w:p w14:paraId="325A4C0D" w14:textId="77777777" w:rsidR="00B63021" w:rsidRDefault="00B63021" w:rsidP="00B63021">
      <w:pPr>
        <w:spacing w:after="0" w:line="240" w:lineRule="auto"/>
        <w:rPr>
          <w:rFonts w:ascii="Arial" w:hAnsi="Arial" w:cs="Arial"/>
          <w:sz w:val="20"/>
          <w:szCs w:val="20"/>
          <w:lang w:val="tr-TR"/>
        </w:rPr>
      </w:pPr>
    </w:p>
    <w:p w14:paraId="05D83000" w14:textId="77777777" w:rsidR="00B63021" w:rsidRDefault="00B63021" w:rsidP="00B63021">
      <w:pPr>
        <w:spacing w:after="0" w:line="240" w:lineRule="auto"/>
        <w:rPr>
          <w:rFonts w:ascii="Arial" w:hAnsi="Arial" w:cs="Arial"/>
          <w:sz w:val="20"/>
          <w:szCs w:val="20"/>
          <w:lang w:val="tr-TR"/>
        </w:rPr>
      </w:pPr>
    </w:p>
    <w:p w14:paraId="54DD6116" w14:textId="77777777" w:rsidR="00B63021" w:rsidRDefault="00B63021" w:rsidP="00B63021">
      <w:pPr>
        <w:spacing w:after="0" w:line="240" w:lineRule="auto"/>
        <w:rPr>
          <w:rFonts w:ascii="Arial" w:hAnsi="Arial" w:cs="Arial"/>
          <w:sz w:val="20"/>
          <w:szCs w:val="20"/>
          <w:lang w:val="tr-TR"/>
        </w:rPr>
      </w:pPr>
    </w:p>
    <w:p w14:paraId="45ABC5EC" w14:textId="77777777" w:rsidR="00B63021" w:rsidRDefault="00B63021" w:rsidP="00B63021">
      <w:pPr>
        <w:spacing w:after="0" w:line="240" w:lineRule="auto"/>
        <w:rPr>
          <w:rFonts w:ascii="Arial" w:hAnsi="Arial" w:cs="Arial"/>
          <w:sz w:val="20"/>
          <w:szCs w:val="20"/>
          <w:lang w:val="tr-TR"/>
        </w:rPr>
      </w:pPr>
    </w:p>
    <w:p w14:paraId="25168A72" w14:textId="77777777" w:rsidR="00B63021" w:rsidRDefault="00B63021" w:rsidP="00B63021">
      <w:pPr>
        <w:spacing w:after="0" w:line="240" w:lineRule="auto"/>
        <w:rPr>
          <w:rFonts w:ascii="Arial" w:hAnsi="Arial" w:cs="Arial"/>
          <w:sz w:val="20"/>
          <w:szCs w:val="20"/>
          <w:lang w:val="tr-TR"/>
        </w:rPr>
      </w:pPr>
    </w:p>
    <w:p w14:paraId="1A5BD1F5" w14:textId="77777777" w:rsidR="00B63021" w:rsidRDefault="00B63021" w:rsidP="00B63021">
      <w:pPr>
        <w:spacing w:after="0" w:line="240" w:lineRule="auto"/>
        <w:rPr>
          <w:rFonts w:ascii="Arial" w:hAnsi="Arial" w:cs="Arial"/>
          <w:sz w:val="20"/>
          <w:szCs w:val="20"/>
          <w:lang w:val="tr-TR"/>
        </w:rPr>
      </w:pPr>
    </w:p>
    <w:p w14:paraId="3F7A3598" w14:textId="77777777" w:rsidR="00B63021" w:rsidRDefault="00B63021" w:rsidP="00B63021">
      <w:pPr>
        <w:spacing w:after="0" w:line="240" w:lineRule="auto"/>
        <w:rPr>
          <w:rFonts w:ascii="Arial" w:hAnsi="Arial" w:cs="Arial"/>
          <w:sz w:val="20"/>
          <w:szCs w:val="20"/>
          <w:lang w:val="tr-TR"/>
        </w:rPr>
      </w:pPr>
    </w:p>
    <w:p w14:paraId="59CD8436" w14:textId="77777777" w:rsidR="00B63021" w:rsidRDefault="00B63021" w:rsidP="00B63021">
      <w:pPr>
        <w:spacing w:after="0" w:line="240" w:lineRule="auto"/>
        <w:rPr>
          <w:rFonts w:ascii="Arial" w:hAnsi="Arial" w:cs="Arial"/>
          <w:sz w:val="20"/>
          <w:szCs w:val="20"/>
          <w:lang w:val="tr-TR"/>
        </w:rPr>
      </w:pPr>
    </w:p>
    <w:p w14:paraId="4553968E" w14:textId="77777777" w:rsidR="00B63021" w:rsidRDefault="00B63021" w:rsidP="00B63021">
      <w:pPr>
        <w:spacing w:after="0" w:line="240" w:lineRule="auto"/>
        <w:rPr>
          <w:rFonts w:ascii="Arial" w:hAnsi="Arial" w:cs="Arial"/>
          <w:sz w:val="20"/>
          <w:szCs w:val="20"/>
          <w:lang w:val="tr-TR"/>
        </w:rPr>
      </w:pPr>
    </w:p>
    <w:p w14:paraId="18518D0B" w14:textId="77777777" w:rsidR="00B63021" w:rsidRDefault="00B63021" w:rsidP="00B63021">
      <w:pPr>
        <w:spacing w:after="0" w:line="240" w:lineRule="auto"/>
        <w:rPr>
          <w:rFonts w:ascii="Arial" w:hAnsi="Arial" w:cs="Arial"/>
          <w:sz w:val="20"/>
          <w:szCs w:val="20"/>
          <w:lang w:val="tr-TR"/>
        </w:rPr>
      </w:pPr>
    </w:p>
    <w:p w14:paraId="14C24E8F" w14:textId="77777777" w:rsidR="00B63021" w:rsidRDefault="00B63021" w:rsidP="00B63021">
      <w:pPr>
        <w:spacing w:after="0" w:line="240" w:lineRule="auto"/>
        <w:rPr>
          <w:rFonts w:ascii="Arial" w:hAnsi="Arial" w:cs="Arial"/>
          <w:sz w:val="20"/>
          <w:szCs w:val="20"/>
          <w:lang w:val="tr-TR"/>
        </w:rPr>
      </w:pPr>
    </w:p>
    <w:p w14:paraId="78E7A9C4" w14:textId="77777777" w:rsidR="00B63021" w:rsidRDefault="00B63021" w:rsidP="00B63021">
      <w:pPr>
        <w:spacing w:after="0" w:line="240" w:lineRule="auto"/>
        <w:rPr>
          <w:rFonts w:ascii="Arial" w:hAnsi="Arial" w:cs="Arial"/>
          <w:sz w:val="20"/>
          <w:szCs w:val="20"/>
          <w:lang w:val="tr-TR"/>
        </w:rPr>
      </w:pPr>
    </w:p>
    <w:p w14:paraId="51858D0B" w14:textId="77777777" w:rsidR="00B63021" w:rsidRDefault="00B63021" w:rsidP="00B63021">
      <w:pPr>
        <w:spacing w:after="0" w:line="240" w:lineRule="auto"/>
        <w:rPr>
          <w:rFonts w:ascii="Arial" w:hAnsi="Arial" w:cs="Arial"/>
          <w:sz w:val="20"/>
          <w:szCs w:val="20"/>
          <w:lang w:val="tr-TR"/>
        </w:rPr>
      </w:pPr>
    </w:p>
    <w:p w14:paraId="650BD23B" w14:textId="77777777" w:rsidR="00B63021" w:rsidRDefault="00B63021" w:rsidP="00B63021">
      <w:pPr>
        <w:spacing w:after="0" w:line="240" w:lineRule="auto"/>
        <w:rPr>
          <w:rFonts w:ascii="Arial" w:hAnsi="Arial" w:cs="Arial"/>
          <w:sz w:val="20"/>
          <w:szCs w:val="20"/>
          <w:lang w:val="tr-TR"/>
        </w:rPr>
      </w:pPr>
    </w:p>
    <w:p w14:paraId="6AA4462D" w14:textId="77777777" w:rsidR="00B63021" w:rsidRDefault="00B63021" w:rsidP="00B63021">
      <w:pPr>
        <w:spacing w:after="0" w:line="240" w:lineRule="auto"/>
        <w:rPr>
          <w:rFonts w:ascii="Arial" w:hAnsi="Arial" w:cs="Arial"/>
          <w:sz w:val="20"/>
          <w:szCs w:val="20"/>
          <w:lang w:val="tr-TR"/>
        </w:rPr>
      </w:pPr>
    </w:p>
    <w:p w14:paraId="1714C97B" w14:textId="77777777" w:rsidR="00B63021" w:rsidRDefault="00B63021" w:rsidP="00B63021">
      <w:pPr>
        <w:spacing w:after="0" w:line="240" w:lineRule="auto"/>
        <w:rPr>
          <w:rFonts w:ascii="Arial" w:hAnsi="Arial" w:cs="Arial"/>
          <w:sz w:val="20"/>
          <w:szCs w:val="20"/>
          <w:lang w:val="tr-TR"/>
        </w:rPr>
      </w:pPr>
    </w:p>
    <w:p w14:paraId="06E25681" w14:textId="77777777" w:rsidR="00B63021" w:rsidRDefault="00B63021" w:rsidP="00B63021">
      <w:pPr>
        <w:spacing w:after="0" w:line="240" w:lineRule="auto"/>
        <w:rPr>
          <w:rFonts w:ascii="Arial" w:hAnsi="Arial" w:cs="Arial"/>
          <w:sz w:val="20"/>
          <w:szCs w:val="20"/>
          <w:lang w:val="tr-TR"/>
        </w:rPr>
      </w:pPr>
    </w:p>
    <w:p w14:paraId="635F5AEC" w14:textId="77777777" w:rsidR="00B63021" w:rsidRDefault="00B63021" w:rsidP="00B63021">
      <w:pPr>
        <w:spacing w:after="0" w:line="240" w:lineRule="auto"/>
        <w:rPr>
          <w:rFonts w:ascii="Arial" w:hAnsi="Arial" w:cs="Arial"/>
          <w:sz w:val="20"/>
          <w:szCs w:val="20"/>
          <w:lang w:val="tr-TR"/>
        </w:rPr>
      </w:pPr>
    </w:p>
    <w:p w14:paraId="357F59CF" w14:textId="77777777" w:rsidR="00B63021" w:rsidRDefault="00B63021" w:rsidP="00B63021">
      <w:pPr>
        <w:spacing w:after="0" w:line="240" w:lineRule="auto"/>
        <w:rPr>
          <w:rFonts w:ascii="Arial" w:hAnsi="Arial" w:cs="Arial"/>
          <w:sz w:val="20"/>
          <w:szCs w:val="20"/>
          <w:lang w:val="tr-TR"/>
        </w:rPr>
      </w:pPr>
    </w:p>
    <w:p w14:paraId="6696FA29" w14:textId="77777777" w:rsidR="00B63021" w:rsidRDefault="00B63021" w:rsidP="00B63021">
      <w:pPr>
        <w:spacing w:after="0" w:line="240" w:lineRule="auto"/>
        <w:rPr>
          <w:rFonts w:ascii="Arial" w:hAnsi="Arial" w:cs="Arial"/>
          <w:sz w:val="20"/>
          <w:szCs w:val="20"/>
          <w:lang w:val="tr-TR"/>
        </w:rPr>
      </w:pPr>
    </w:p>
    <w:p w14:paraId="4F5AA5E1" w14:textId="77777777" w:rsidR="00B63021" w:rsidRDefault="00B63021" w:rsidP="00B63021">
      <w:pPr>
        <w:spacing w:after="0" w:line="240" w:lineRule="auto"/>
        <w:rPr>
          <w:rFonts w:ascii="Arial" w:hAnsi="Arial" w:cs="Arial"/>
          <w:sz w:val="20"/>
          <w:szCs w:val="20"/>
          <w:lang w:val="tr-TR"/>
        </w:rPr>
      </w:pPr>
    </w:p>
    <w:p w14:paraId="37C44E21" w14:textId="77777777" w:rsidR="00B63021" w:rsidRDefault="00B63021" w:rsidP="00B63021">
      <w:pPr>
        <w:spacing w:after="0" w:line="240" w:lineRule="auto"/>
        <w:rPr>
          <w:rFonts w:ascii="Arial" w:hAnsi="Arial" w:cs="Arial"/>
          <w:sz w:val="20"/>
          <w:szCs w:val="20"/>
          <w:lang w:val="tr-TR"/>
        </w:rPr>
      </w:pPr>
    </w:p>
    <w:p w14:paraId="7E7F480B" w14:textId="77777777" w:rsidR="00B63021" w:rsidRDefault="00B63021" w:rsidP="00B63021">
      <w:pPr>
        <w:spacing w:after="0" w:line="240" w:lineRule="auto"/>
        <w:rPr>
          <w:rFonts w:ascii="Arial" w:hAnsi="Arial" w:cs="Arial"/>
          <w:sz w:val="20"/>
          <w:szCs w:val="20"/>
          <w:lang w:val="tr-TR"/>
        </w:rPr>
      </w:pPr>
    </w:p>
    <w:p w14:paraId="1FF9C29B" w14:textId="77777777" w:rsidR="00B63021" w:rsidRDefault="00B63021" w:rsidP="00B63021">
      <w:pPr>
        <w:spacing w:after="0" w:line="240" w:lineRule="auto"/>
        <w:rPr>
          <w:rFonts w:ascii="Arial" w:hAnsi="Arial" w:cs="Arial"/>
          <w:sz w:val="20"/>
          <w:szCs w:val="20"/>
          <w:lang w:val="tr-TR"/>
        </w:rPr>
      </w:pPr>
    </w:p>
    <w:p w14:paraId="0CC178C7" w14:textId="77777777" w:rsidR="00B63021" w:rsidRDefault="00B63021" w:rsidP="00B63021">
      <w:pPr>
        <w:spacing w:after="0" w:line="240" w:lineRule="auto"/>
        <w:rPr>
          <w:rFonts w:ascii="Arial" w:hAnsi="Arial" w:cs="Arial"/>
          <w:sz w:val="20"/>
          <w:szCs w:val="20"/>
          <w:lang w:val="tr-TR"/>
        </w:rPr>
      </w:pPr>
    </w:p>
    <w:p w14:paraId="2AC2E146" w14:textId="77777777" w:rsidR="00B63021" w:rsidRDefault="00B63021" w:rsidP="00B63021">
      <w:pPr>
        <w:spacing w:after="0" w:line="240" w:lineRule="auto"/>
        <w:rPr>
          <w:rFonts w:ascii="Arial" w:hAnsi="Arial" w:cs="Arial"/>
          <w:sz w:val="20"/>
          <w:szCs w:val="20"/>
          <w:lang w:val="tr-TR"/>
        </w:rPr>
      </w:pPr>
    </w:p>
    <w:p w14:paraId="3AC0F691" w14:textId="77777777" w:rsidR="00B63021" w:rsidRDefault="00B63021" w:rsidP="00B63021">
      <w:pPr>
        <w:spacing w:after="0" w:line="240" w:lineRule="auto"/>
        <w:rPr>
          <w:rFonts w:ascii="Arial" w:hAnsi="Arial" w:cs="Arial"/>
          <w:sz w:val="20"/>
          <w:szCs w:val="20"/>
          <w:lang w:val="tr-TR"/>
        </w:rPr>
      </w:pPr>
    </w:p>
    <w:p w14:paraId="3AA7B98A" w14:textId="77777777" w:rsidR="00B63021" w:rsidRDefault="00B63021" w:rsidP="00B63021">
      <w:pPr>
        <w:spacing w:after="0" w:line="240" w:lineRule="auto"/>
        <w:rPr>
          <w:rFonts w:ascii="Arial" w:hAnsi="Arial" w:cs="Arial"/>
          <w:sz w:val="20"/>
          <w:szCs w:val="20"/>
          <w:lang w:val="tr-TR"/>
        </w:rPr>
      </w:pPr>
    </w:p>
    <w:p w14:paraId="567087FE" w14:textId="77777777" w:rsidR="00B63021" w:rsidRDefault="00B63021" w:rsidP="00B63021">
      <w:pPr>
        <w:spacing w:after="0" w:line="240" w:lineRule="auto"/>
        <w:rPr>
          <w:rFonts w:ascii="Arial" w:hAnsi="Arial" w:cs="Arial"/>
          <w:sz w:val="20"/>
          <w:szCs w:val="20"/>
          <w:lang w:val="tr-TR"/>
        </w:rPr>
      </w:pPr>
    </w:p>
    <w:p w14:paraId="3908CBE9" w14:textId="77777777" w:rsidR="00B63021" w:rsidRDefault="00B63021" w:rsidP="00B63021">
      <w:pPr>
        <w:spacing w:after="0" w:line="240" w:lineRule="auto"/>
        <w:rPr>
          <w:rFonts w:ascii="Arial" w:hAnsi="Arial" w:cs="Arial"/>
          <w:sz w:val="20"/>
          <w:szCs w:val="20"/>
          <w:lang w:val="tr-TR"/>
        </w:rPr>
      </w:pPr>
    </w:p>
    <w:p w14:paraId="4D4C7E3C" w14:textId="77777777" w:rsidR="00B63021" w:rsidRDefault="00B63021" w:rsidP="00B63021">
      <w:pPr>
        <w:spacing w:after="0" w:line="240" w:lineRule="auto"/>
        <w:rPr>
          <w:rFonts w:ascii="Arial" w:hAnsi="Arial" w:cs="Arial"/>
          <w:sz w:val="20"/>
          <w:szCs w:val="20"/>
          <w:lang w:val="tr-TR"/>
        </w:rPr>
      </w:pPr>
    </w:p>
    <w:p w14:paraId="5E7A6C36" w14:textId="77777777" w:rsidR="00B63021" w:rsidRDefault="00B63021" w:rsidP="00B63021">
      <w:pPr>
        <w:spacing w:after="0" w:line="240" w:lineRule="auto"/>
        <w:rPr>
          <w:rFonts w:ascii="Arial" w:hAnsi="Arial" w:cs="Arial"/>
          <w:sz w:val="20"/>
          <w:szCs w:val="20"/>
          <w:lang w:val="tr-TR"/>
        </w:rPr>
      </w:pPr>
    </w:p>
    <w:p w14:paraId="315AB32D" w14:textId="77777777" w:rsidR="00B63021" w:rsidRDefault="00B63021" w:rsidP="00B63021">
      <w:pPr>
        <w:spacing w:after="0" w:line="240" w:lineRule="auto"/>
        <w:rPr>
          <w:rFonts w:ascii="Arial" w:hAnsi="Arial" w:cs="Arial"/>
          <w:sz w:val="20"/>
          <w:szCs w:val="20"/>
          <w:lang w:val="tr-TR"/>
        </w:rPr>
      </w:pPr>
    </w:p>
    <w:p w14:paraId="1D0E86E3" w14:textId="77777777" w:rsidR="00B63021" w:rsidRDefault="00B63021" w:rsidP="00B63021">
      <w:pPr>
        <w:spacing w:after="0" w:line="240" w:lineRule="auto"/>
        <w:rPr>
          <w:rFonts w:ascii="Arial" w:hAnsi="Arial" w:cs="Arial"/>
          <w:sz w:val="20"/>
          <w:szCs w:val="20"/>
          <w:lang w:val="tr-TR"/>
        </w:rPr>
      </w:pPr>
    </w:p>
    <w:p w14:paraId="714BF651" w14:textId="77777777" w:rsidR="00B63021" w:rsidRDefault="00B63021" w:rsidP="00B63021">
      <w:pPr>
        <w:spacing w:after="0" w:line="240" w:lineRule="auto"/>
        <w:rPr>
          <w:rFonts w:ascii="Arial" w:hAnsi="Arial" w:cs="Arial"/>
          <w:sz w:val="20"/>
          <w:szCs w:val="20"/>
          <w:lang w:val="tr-TR"/>
        </w:rPr>
      </w:pPr>
    </w:p>
    <w:p w14:paraId="42C90314" w14:textId="77777777" w:rsidR="00B63021" w:rsidRDefault="00B63021" w:rsidP="00B63021">
      <w:pPr>
        <w:spacing w:after="0" w:line="240" w:lineRule="auto"/>
        <w:rPr>
          <w:rFonts w:ascii="Arial" w:hAnsi="Arial" w:cs="Arial"/>
          <w:sz w:val="20"/>
          <w:szCs w:val="20"/>
          <w:lang w:val="tr-TR"/>
        </w:rPr>
      </w:pPr>
    </w:p>
    <w:p w14:paraId="5E7D68B2" w14:textId="77777777" w:rsidR="00B63021" w:rsidRDefault="00B63021" w:rsidP="00B63021">
      <w:pPr>
        <w:spacing w:after="0" w:line="240" w:lineRule="auto"/>
        <w:rPr>
          <w:rFonts w:ascii="Arial" w:hAnsi="Arial" w:cs="Arial"/>
          <w:sz w:val="20"/>
          <w:szCs w:val="20"/>
          <w:lang w:val="tr-TR"/>
        </w:rPr>
      </w:pPr>
    </w:p>
    <w:p w14:paraId="34B29BA1" w14:textId="77777777" w:rsidR="00B63021" w:rsidRDefault="00B63021" w:rsidP="00B63021">
      <w:pPr>
        <w:spacing w:after="0" w:line="240" w:lineRule="auto"/>
        <w:rPr>
          <w:rFonts w:ascii="Arial" w:hAnsi="Arial" w:cs="Arial"/>
          <w:sz w:val="20"/>
          <w:szCs w:val="20"/>
          <w:lang w:val="tr-TR"/>
        </w:rPr>
      </w:pPr>
    </w:p>
    <w:p w14:paraId="57AABD8A" w14:textId="77777777" w:rsidR="00B63021" w:rsidRDefault="00B63021" w:rsidP="00B63021">
      <w:pPr>
        <w:spacing w:after="0" w:line="240" w:lineRule="auto"/>
        <w:rPr>
          <w:rFonts w:ascii="Arial" w:hAnsi="Arial" w:cs="Arial"/>
          <w:sz w:val="20"/>
          <w:szCs w:val="20"/>
          <w:lang w:val="tr-TR"/>
        </w:rPr>
      </w:pPr>
    </w:p>
    <w:p w14:paraId="55F332C6" w14:textId="77777777" w:rsidR="00B63021" w:rsidRDefault="00B63021" w:rsidP="00B63021">
      <w:pPr>
        <w:spacing w:after="0" w:line="240" w:lineRule="auto"/>
        <w:rPr>
          <w:rFonts w:ascii="Arial" w:hAnsi="Arial" w:cs="Arial"/>
          <w:sz w:val="20"/>
          <w:szCs w:val="20"/>
          <w:lang w:val="tr-TR"/>
        </w:rPr>
      </w:pPr>
    </w:p>
    <w:p w14:paraId="223C2774" w14:textId="77777777" w:rsidR="00B63021" w:rsidRDefault="00B63021" w:rsidP="00B63021">
      <w:pPr>
        <w:spacing w:after="0" w:line="240" w:lineRule="auto"/>
        <w:rPr>
          <w:rFonts w:ascii="Arial" w:hAnsi="Arial" w:cs="Arial"/>
          <w:sz w:val="20"/>
          <w:szCs w:val="20"/>
          <w:lang w:val="tr-TR"/>
        </w:rPr>
      </w:pPr>
    </w:p>
    <w:p w14:paraId="4FBFB8DD" w14:textId="77777777" w:rsidR="00B63021" w:rsidRDefault="00B63021" w:rsidP="00B63021">
      <w:pPr>
        <w:spacing w:after="0" w:line="240" w:lineRule="auto"/>
        <w:rPr>
          <w:rFonts w:ascii="Arial" w:hAnsi="Arial" w:cs="Arial"/>
          <w:sz w:val="20"/>
          <w:szCs w:val="20"/>
          <w:lang w:val="tr-TR"/>
        </w:rPr>
      </w:pPr>
    </w:p>
    <w:p w14:paraId="23BB7050" w14:textId="77777777" w:rsidR="00560D82" w:rsidRPr="009E1CED" w:rsidRDefault="00560D82">
      <w:pPr>
        <w:rPr>
          <w:rFonts w:ascii="Arial" w:hAnsi="Arial" w:cs="Arial"/>
          <w:b/>
          <w:bCs/>
          <w:sz w:val="20"/>
          <w:szCs w:val="20"/>
        </w:rPr>
      </w:pPr>
    </w:p>
    <w:sectPr w:rsidR="00560D82" w:rsidRPr="009E1C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0161E"/>
    <w:multiLevelType w:val="hybridMultilevel"/>
    <w:tmpl w:val="A89C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8706B"/>
    <w:multiLevelType w:val="hybridMultilevel"/>
    <w:tmpl w:val="F630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07C10"/>
    <w:multiLevelType w:val="hybridMultilevel"/>
    <w:tmpl w:val="1F0A4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B86A09"/>
    <w:multiLevelType w:val="hybridMultilevel"/>
    <w:tmpl w:val="2C82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195271">
    <w:abstractNumId w:val="1"/>
  </w:num>
  <w:num w:numId="2" w16cid:durableId="715736855">
    <w:abstractNumId w:val="0"/>
  </w:num>
  <w:num w:numId="3" w16cid:durableId="260921108">
    <w:abstractNumId w:val="2"/>
  </w:num>
  <w:num w:numId="4" w16cid:durableId="1375618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11"/>
    <w:rsid w:val="00144B78"/>
    <w:rsid w:val="0017237C"/>
    <w:rsid w:val="001F2697"/>
    <w:rsid w:val="001F6FEE"/>
    <w:rsid w:val="00275AB9"/>
    <w:rsid w:val="002A4F5E"/>
    <w:rsid w:val="002F13C2"/>
    <w:rsid w:val="003D0EB3"/>
    <w:rsid w:val="00417709"/>
    <w:rsid w:val="005103C5"/>
    <w:rsid w:val="005323F4"/>
    <w:rsid w:val="00560D82"/>
    <w:rsid w:val="005E57CB"/>
    <w:rsid w:val="005F4612"/>
    <w:rsid w:val="00620C55"/>
    <w:rsid w:val="0065263E"/>
    <w:rsid w:val="00814DC6"/>
    <w:rsid w:val="008228AB"/>
    <w:rsid w:val="00835372"/>
    <w:rsid w:val="008D3540"/>
    <w:rsid w:val="008D4E22"/>
    <w:rsid w:val="008F601F"/>
    <w:rsid w:val="009876F6"/>
    <w:rsid w:val="009B2207"/>
    <w:rsid w:val="009E1CED"/>
    <w:rsid w:val="00A679EF"/>
    <w:rsid w:val="00AC2EA3"/>
    <w:rsid w:val="00AC3F4B"/>
    <w:rsid w:val="00B63021"/>
    <w:rsid w:val="00B70399"/>
    <w:rsid w:val="00B7353D"/>
    <w:rsid w:val="00BB6A5E"/>
    <w:rsid w:val="00BF4A1E"/>
    <w:rsid w:val="00C148C3"/>
    <w:rsid w:val="00C4740D"/>
    <w:rsid w:val="00C60785"/>
    <w:rsid w:val="00C66A0D"/>
    <w:rsid w:val="00D1041C"/>
    <w:rsid w:val="00D14792"/>
    <w:rsid w:val="00D60958"/>
    <w:rsid w:val="00DD68CA"/>
    <w:rsid w:val="00E00C19"/>
    <w:rsid w:val="00E0629C"/>
    <w:rsid w:val="00E31FF4"/>
    <w:rsid w:val="00E41C11"/>
    <w:rsid w:val="00E42844"/>
    <w:rsid w:val="00E84C23"/>
    <w:rsid w:val="00EF1784"/>
    <w:rsid w:val="00F01518"/>
    <w:rsid w:val="00FE786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A508"/>
  <w15:chartTrackingRefBased/>
  <w15:docId w15:val="{CC668913-9798-6E44-A984-B7F26A3B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63E"/>
    <w:pPr>
      <w:spacing w:after="160" w:line="259" w:lineRule="auto"/>
    </w:pPr>
    <w:rPr>
      <w:kern w:val="0"/>
      <w:sz w:val="22"/>
      <w:szCs w:val="22"/>
      <w:lang w:val="en-GB"/>
      <w14:ligatures w14:val="none"/>
    </w:rPr>
  </w:style>
  <w:style w:type="paragraph" w:styleId="Heading1">
    <w:name w:val="heading 1"/>
    <w:basedOn w:val="Normal"/>
    <w:next w:val="Normal"/>
    <w:link w:val="Heading1Char"/>
    <w:uiPriority w:val="9"/>
    <w:qFormat/>
    <w:rsid w:val="00E31F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F5E"/>
    <w:pPr>
      <w:ind w:left="720"/>
      <w:contextualSpacing/>
    </w:pPr>
  </w:style>
  <w:style w:type="character" w:styleId="Hyperlink">
    <w:name w:val="Hyperlink"/>
    <w:basedOn w:val="DefaultParagraphFont"/>
    <w:uiPriority w:val="99"/>
    <w:unhideWhenUsed/>
    <w:rsid w:val="002A4F5E"/>
    <w:rPr>
      <w:color w:val="0563C1" w:themeColor="hyperlink"/>
      <w:u w:val="single"/>
    </w:rPr>
  </w:style>
  <w:style w:type="character" w:styleId="UnresolvedMention">
    <w:name w:val="Unresolved Mention"/>
    <w:basedOn w:val="DefaultParagraphFont"/>
    <w:uiPriority w:val="99"/>
    <w:semiHidden/>
    <w:unhideWhenUsed/>
    <w:rsid w:val="002A4F5E"/>
    <w:rPr>
      <w:color w:val="605E5C"/>
      <w:shd w:val="clear" w:color="auto" w:fill="E1DFDD"/>
    </w:rPr>
  </w:style>
  <w:style w:type="character" w:customStyle="1" w:styleId="apple-converted-space">
    <w:name w:val="apple-converted-space"/>
    <w:basedOn w:val="DefaultParagraphFont"/>
    <w:rsid w:val="002A4F5E"/>
  </w:style>
  <w:style w:type="character" w:customStyle="1" w:styleId="il">
    <w:name w:val="il"/>
    <w:basedOn w:val="DefaultParagraphFont"/>
    <w:rsid w:val="002A4F5E"/>
  </w:style>
  <w:style w:type="paragraph" w:customStyle="1" w:styleId="DDLTitle">
    <w:name w:val="DDL_Title"/>
    <w:basedOn w:val="Title"/>
    <w:next w:val="DDLSubtitle"/>
    <w:qFormat/>
    <w:rsid w:val="00E31FF4"/>
    <w:pPr>
      <w:spacing w:after="280"/>
      <w:contextualSpacing w:val="0"/>
      <w:jc w:val="center"/>
      <w:outlineLvl w:val="0"/>
    </w:pPr>
    <w:rPr>
      <w:rFonts w:ascii="Arial" w:eastAsia="Times New Roman" w:hAnsi="Arial" w:cs="Times New Roman"/>
      <w:b/>
      <w:bCs/>
      <w:spacing w:val="0"/>
      <w:sz w:val="18"/>
      <w:szCs w:val="32"/>
      <w:lang w:eastAsia="en-GB"/>
    </w:rPr>
  </w:style>
  <w:style w:type="paragraph" w:customStyle="1" w:styleId="DDLSubtitle">
    <w:name w:val="DDL_Subtitle"/>
    <w:basedOn w:val="Subtitle"/>
    <w:next w:val="DDLAddress1"/>
    <w:qFormat/>
    <w:rsid w:val="00E31FF4"/>
    <w:pPr>
      <w:numPr>
        <w:ilvl w:val="0"/>
      </w:numPr>
      <w:spacing w:after="180" w:line="240" w:lineRule="auto"/>
      <w:jc w:val="center"/>
      <w:outlineLvl w:val="1"/>
    </w:pPr>
    <w:rPr>
      <w:rFonts w:ascii="Arial" w:eastAsia="Times New Roman" w:hAnsi="Arial" w:cs="Times New Roman"/>
      <w:b/>
      <w:color w:val="auto"/>
      <w:spacing w:val="0"/>
      <w:sz w:val="18"/>
      <w:szCs w:val="24"/>
      <w:lang w:eastAsia="en-GB"/>
    </w:rPr>
  </w:style>
  <w:style w:type="paragraph" w:customStyle="1" w:styleId="DDLAddress1">
    <w:name w:val="DDL_Address1"/>
    <w:basedOn w:val="DDLSubtitle"/>
    <w:next w:val="Normal"/>
    <w:qFormat/>
    <w:rsid w:val="00E31FF4"/>
    <w:pPr>
      <w:spacing w:after="60"/>
    </w:pPr>
    <w:rPr>
      <w:b w:val="0"/>
    </w:rPr>
  </w:style>
  <w:style w:type="paragraph" w:customStyle="1" w:styleId="DDLBodyText">
    <w:name w:val="DDL_BodyText"/>
    <w:basedOn w:val="Normal"/>
    <w:qFormat/>
    <w:rsid w:val="00E31FF4"/>
    <w:pPr>
      <w:spacing w:after="180" w:line="240" w:lineRule="auto"/>
      <w:jc w:val="both"/>
    </w:pPr>
    <w:rPr>
      <w:rFonts w:ascii="Arial" w:eastAsia="Times New Roman" w:hAnsi="Arial" w:cs="Times New Roman"/>
      <w:sz w:val="18"/>
      <w:szCs w:val="20"/>
      <w:lang w:eastAsia="en-GB"/>
    </w:rPr>
  </w:style>
  <w:style w:type="paragraph" w:customStyle="1" w:styleId="DDLHeading1">
    <w:name w:val="DDL_Heading1"/>
    <w:basedOn w:val="Heading1"/>
    <w:next w:val="DDLBodyText"/>
    <w:qFormat/>
    <w:rsid w:val="00E31FF4"/>
    <w:pPr>
      <w:keepLines w:val="0"/>
      <w:spacing w:before="280" w:after="180" w:line="240" w:lineRule="auto"/>
      <w:jc w:val="both"/>
    </w:pPr>
    <w:rPr>
      <w:rFonts w:ascii="Arial" w:eastAsia="Times New Roman" w:hAnsi="Arial" w:cs="Times New Roman"/>
      <w:b/>
      <w:bCs/>
      <w:color w:val="auto"/>
      <w:kern w:val="32"/>
      <w:sz w:val="18"/>
      <w:lang w:eastAsia="en-GB"/>
    </w:rPr>
  </w:style>
  <w:style w:type="character" w:customStyle="1" w:styleId="csl-left-margin">
    <w:name w:val="csl-left-margin"/>
    <w:basedOn w:val="DefaultParagraphFont"/>
    <w:rsid w:val="00E31FF4"/>
  </w:style>
  <w:style w:type="character" w:customStyle="1" w:styleId="csl-right-inline">
    <w:name w:val="csl-right-inline"/>
    <w:basedOn w:val="DefaultParagraphFont"/>
    <w:rsid w:val="00E31FF4"/>
  </w:style>
  <w:style w:type="paragraph" w:styleId="Title">
    <w:name w:val="Title"/>
    <w:basedOn w:val="Normal"/>
    <w:next w:val="Normal"/>
    <w:link w:val="TitleChar"/>
    <w:uiPriority w:val="10"/>
    <w:qFormat/>
    <w:rsid w:val="00E31F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FF4"/>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E31FF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1FF4"/>
    <w:rPr>
      <w:rFonts w:eastAsiaTheme="minorEastAsia"/>
      <w:color w:val="5A5A5A" w:themeColor="text1" w:themeTint="A5"/>
      <w:spacing w:val="15"/>
      <w:kern w:val="0"/>
      <w:sz w:val="22"/>
      <w:szCs w:val="22"/>
      <w:lang w:val="en-GB"/>
      <w14:ligatures w14:val="none"/>
    </w:rPr>
  </w:style>
  <w:style w:type="character" w:customStyle="1" w:styleId="Heading1Char">
    <w:name w:val="Heading 1 Char"/>
    <w:basedOn w:val="DefaultParagraphFont"/>
    <w:link w:val="Heading1"/>
    <w:uiPriority w:val="9"/>
    <w:rsid w:val="00E31FF4"/>
    <w:rPr>
      <w:rFonts w:asciiTheme="majorHAnsi" w:eastAsiaTheme="majorEastAsia" w:hAnsiTheme="majorHAnsi" w:cstheme="majorBidi"/>
      <w:color w:val="2F5496" w:themeColor="accent1" w:themeShade="BF"/>
      <w:kern w:val="0"/>
      <w:sz w:val="32"/>
      <w:szCs w:val="32"/>
      <w:lang w:val="en-GB"/>
      <w14:ligatures w14:val="none"/>
    </w:rPr>
  </w:style>
  <w:style w:type="paragraph" w:customStyle="1" w:styleId="Default">
    <w:name w:val="Default"/>
    <w:rsid w:val="002F13C2"/>
    <w:pPr>
      <w:autoSpaceDE w:val="0"/>
      <w:autoSpaceDN w:val="0"/>
      <w:adjustRightInd w:val="0"/>
    </w:pPr>
    <w:rPr>
      <w:rFonts w:ascii="Times New Roman" w:hAnsi="Times New Roman" w:cs="Times New Roman"/>
      <w:color w:val="000000"/>
      <w:kern w:val="0"/>
      <w:lang w:val="en-US"/>
      <w14:ligatures w14:val="none"/>
    </w:rPr>
  </w:style>
  <w:style w:type="table" w:styleId="PlainTable1">
    <w:name w:val="Plain Table 1"/>
    <w:basedOn w:val="TableNormal"/>
    <w:uiPriority w:val="41"/>
    <w:rsid w:val="00A679EF"/>
    <w:rPr>
      <w:rFonts w:ascii="Century Gothic" w:hAnsi="Century Gothic"/>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17709"/>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wixui-rich-texttext">
    <w:name w:val="wixui-rich-text__text"/>
    <w:basedOn w:val="DefaultParagraphFont"/>
    <w:rsid w:val="00417709"/>
  </w:style>
  <w:style w:type="paragraph" w:customStyle="1" w:styleId="DDLAddress2">
    <w:name w:val="DDL_Address2"/>
    <w:basedOn w:val="DDLAddress1"/>
    <w:next w:val="DDLHeading1"/>
    <w:qFormat/>
    <w:rsid w:val="00C148C3"/>
    <w:pPr>
      <w:spacing w:after="280"/>
    </w:pPr>
  </w:style>
  <w:style w:type="paragraph" w:customStyle="1" w:styleId="DDLCaption">
    <w:name w:val="DDL_Caption"/>
    <w:basedOn w:val="Caption"/>
    <w:next w:val="Normal"/>
    <w:qFormat/>
    <w:rsid w:val="00C148C3"/>
    <w:pPr>
      <w:tabs>
        <w:tab w:val="left" w:pos="851"/>
      </w:tabs>
      <w:spacing w:after="180"/>
      <w:jc w:val="both"/>
    </w:pPr>
    <w:rPr>
      <w:rFonts w:ascii="Arial" w:eastAsia="Times New Roman" w:hAnsi="Arial" w:cs="Times New Roman"/>
      <w:b/>
      <w:bCs/>
      <w:i w:val="0"/>
      <w:iCs w:val="0"/>
      <w:color w:val="auto"/>
      <w:sz w:val="16"/>
      <w:szCs w:val="16"/>
      <w:lang w:eastAsia="en-GB"/>
    </w:rPr>
  </w:style>
  <w:style w:type="table" w:styleId="PlainTable3">
    <w:name w:val="Plain Table 3"/>
    <w:basedOn w:val="TableNormal"/>
    <w:uiPriority w:val="43"/>
    <w:rsid w:val="00C148C3"/>
    <w:rPr>
      <w:rFonts w:ascii="Times New Roman" w:eastAsia="Times New Roman" w:hAnsi="Times New Roman" w:cs="Times New Roman"/>
      <w:kern w:val="0"/>
      <w:sz w:val="20"/>
      <w:szCs w:val="20"/>
      <w:lang w:val="en-GB" w:eastAsia="en-GB"/>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semiHidden/>
    <w:unhideWhenUsed/>
    <w:qFormat/>
    <w:rsid w:val="00C148C3"/>
    <w:pPr>
      <w:spacing w:after="200" w:line="240" w:lineRule="auto"/>
    </w:pPr>
    <w:rPr>
      <w:i/>
      <w:iCs/>
      <w:color w:val="44546A" w:themeColor="text2"/>
      <w:sz w:val="18"/>
      <w:szCs w:val="18"/>
    </w:rPr>
  </w:style>
  <w:style w:type="table" w:styleId="ListTable1Light">
    <w:name w:val="List Table 1 Light"/>
    <w:basedOn w:val="TableNormal"/>
    <w:uiPriority w:val="46"/>
    <w:rsid w:val="005323F4"/>
    <w:rPr>
      <w:rFonts w:ascii="Times New Roman" w:eastAsia="Times New Roman" w:hAnsi="Times New Roman" w:cs="Times New Roman"/>
      <w:kern w:val="0"/>
      <w:sz w:val="20"/>
      <w:szCs w:val="20"/>
      <w:lang w:val="en-GB" w:eastAsia="en-GB"/>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5323F4"/>
    <w:rPr>
      <w:i/>
      <w:iCs/>
    </w:rPr>
  </w:style>
  <w:style w:type="table" w:customStyle="1" w:styleId="TableGridLight1">
    <w:name w:val="Table Grid Light1"/>
    <w:basedOn w:val="TableNormal"/>
    <w:uiPriority w:val="40"/>
    <w:rsid w:val="005323F4"/>
    <w:rPr>
      <w:rFonts w:eastAsiaTheme="minorEastAsia"/>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20C55"/>
    <w:rPr>
      <w:kern w:val="0"/>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620C55"/>
    <w:rPr>
      <w:kern w:val="0"/>
      <w:lang w:val="it-IT"/>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eGrid7">
    <w:name w:val="Table Grid7"/>
    <w:basedOn w:val="TableNormal"/>
    <w:next w:val="TableGrid"/>
    <w:uiPriority w:val="39"/>
    <w:rsid w:val="003D0EB3"/>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D0EB3"/>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3D0E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4316">
      <w:bodyDiv w:val="1"/>
      <w:marLeft w:val="0"/>
      <w:marRight w:val="0"/>
      <w:marTop w:val="0"/>
      <w:marBottom w:val="0"/>
      <w:divBdr>
        <w:top w:val="none" w:sz="0" w:space="0" w:color="auto"/>
        <w:left w:val="none" w:sz="0" w:space="0" w:color="auto"/>
        <w:bottom w:val="none" w:sz="0" w:space="0" w:color="auto"/>
        <w:right w:val="none" w:sz="0" w:space="0" w:color="auto"/>
      </w:divBdr>
    </w:div>
    <w:div w:id="162550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merxin.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tif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hyperlink" Target="https://doi.org/10.1208/s12249-008-9045-9"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94C671F7DB344E9795AA7305D16F63"/>
        <w:category>
          <w:name w:val="Genel"/>
          <w:gallery w:val="placeholder"/>
        </w:category>
        <w:types>
          <w:type w:val="bbPlcHdr"/>
        </w:types>
        <w:behaviors>
          <w:behavior w:val="content"/>
        </w:behaviors>
        <w:guid w:val="{B7B86B80-A796-E748-A868-915D7C64B061}"/>
      </w:docPartPr>
      <w:docPartBody>
        <w:p w:rsidR="004F260B" w:rsidRDefault="00206BE5" w:rsidP="00206BE5">
          <w:pPr>
            <w:pStyle w:val="2094C671F7DB344E9795AA7305D16F63"/>
          </w:pPr>
          <w:r w:rsidRPr="00160344">
            <w:rPr>
              <w:rStyle w:val="PlaceholderText"/>
              <w:color w:val="auto"/>
            </w:rPr>
            <w:t>Title of Your Paper</w:t>
          </w:r>
        </w:p>
      </w:docPartBody>
    </w:docPart>
    <w:docPart>
      <w:docPartPr>
        <w:name w:val="6F9C322EF884CE4B8DBC7049C6E6D072"/>
        <w:category>
          <w:name w:val="Genel"/>
          <w:gallery w:val="placeholder"/>
        </w:category>
        <w:types>
          <w:type w:val="bbPlcHdr"/>
        </w:types>
        <w:behaviors>
          <w:behavior w:val="content"/>
        </w:behaviors>
        <w:guid w:val="{8AA6AA50-B16E-3E46-809F-28CA18694758}"/>
      </w:docPartPr>
      <w:docPartBody>
        <w:p w:rsidR="004F260B" w:rsidRDefault="00206BE5" w:rsidP="00206BE5">
          <w:pPr>
            <w:pStyle w:val="6F9C322EF884CE4B8DBC7049C6E6D072"/>
          </w:pPr>
          <w:r w:rsidRPr="00160344">
            <w:rPr>
              <w:rStyle w:val="PlaceholderText"/>
              <w:color w:val="auto"/>
              <w:u w:val="single"/>
            </w:rPr>
            <w:t>Main Author</w:t>
          </w:r>
        </w:p>
      </w:docPartBody>
    </w:docPart>
    <w:docPart>
      <w:docPartPr>
        <w:name w:val="DE2C65F19851B344A87D427A5176473D"/>
        <w:category>
          <w:name w:val="General"/>
          <w:gallery w:val="placeholder"/>
        </w:category>
        <w:types>
          <w:type w:val="bbPlcHdr"/>
        </w:types>
        <w:behaviors>
          <w:behavior w:val="content"/>
        </w:behaviors>
        <w:guid w:val="{D9FDA3C2-393C-1542-8944-4CECE5708A33}"/>
      </w:docPartPr>
      <w:docPartBody>
        <w:p w:rsidR="00D122A8" w:rsidRDefault="004F260B" w:rsidP="004F260B">
          <w:pPr>
            <w:pStyle w:val="DE2C65F19851B344A87D427A5176473D"/>
          </w:pPr>
          <w:r w:rsidRPr="00160344">
            <w:rPr>
              <w:rStyle w:val="PlaceholderText"/>
              <w:color w:val="auto"/>
            </w:rPr>
            <w:t>Title of Your Paper</w:t>
          </w:r>
        </w:p>
      </w:docPartBody>
    </w:docPart>
    <w:docPart>
      <w:docPartPr>
        <w:name w:val="119124B54A19D14C848E524710844633"/>
        <w:category>
          <w:name w:val="General"/>
          <w:gallery w:val="placeholder"/>
        </w:category>
        <w:types>
          <w:type w:val="bbPlcHdr"/>
        </w:types>
        <w:behaviors>
          <w:behavior w:val="content"/>
        </w:behaviors>
        <w:guid w:val="{69D15805-785B-644C-892B-5493EC34D910}"/>
      </w:docPartPr>
      <w:docPartBody>
        <w:p w:rsidR="00D122A8" w:rsidRDefault="004F260B" w:rsidP="004F260B">
          <w:pPr>
            <w:pStyle w:val="119124B54A19D14C848E524710844633"/>
          </w:pPr>
          <w:r w:rsidRPr="00160344">
            <w:rPr>
              <w:rStyle w:val="PlaceholderText"/>
              <w:color w:val="auto"/>
              <w:u w:val="single"/>
            </w:rPr>
            <w:t>Main Author</w:t>
          </w:r>
        </w:p>
      </w:docPartBody>
    </w:docPart>
    <w:docPart>
      <w:docPartPr>
        <w:name w:val="657B9955B2EFDD4ABC4F3CE675E208C2"/>
        <w:category>
          <w:name w:val="General"/>
          <w:gallery w:val="placeholder"/>
        </w:category>
        <w:types>
          <w:type w:val="bbPlcHdr"/>
        </w:types>
        <w:behaviors>
          <w:behavior w:val="content"/>
        </w:behaviors>
        <w:guid w:val="{D2715C7C-8054-904E-95B9-261FE7172497}"/>
      </w:docPartPr>
      <w:docPartBody>
        <w:p w:rsidR="00D122A8" w:rsidRDefault="004F260B" w:rsidP="004F260B">
          <w:pPr>
            <w:pStyle w:val="657B9955B2EFDD4ABC4F3CE675E208C2"/>
          </w:pPr>
          <w:r w:rsidRPr="00160344">
            <w:rPr>
              <w:rStyle w:val="PlaceholderText"/>
              <w:color w:val="auto"/>
            </w:rPr>
            <w:t>Title of Your Paper</w:t>
          </w:r>
        </w:p>
      </w:docPartBody>
    </w:docPart>
    <w:docPart>
      <w:docPartPr>
        <w:name w:val="99E6CA4FDA93564F90C2572B98C0771B"/>
        <w:category>
          <w:name w:val="General"/>
          <w:gallery w:val="placeholder"/>
        </w:category>
        <w:types>
          <w:type w:val="bbPlcHdr"/>
        </w:types>
        <w:behaviors>
          <w:behavior w:val="content"/>
        </w:behaviors>
        <w:guid w:val="{E425EC1C-69A1-2F42-8017-0B48DC481711}"/>
      </w:docPartPr>
      <w:docPartBody>
        <w:p w:rsidR="00D122A8" w:rsidRDefault="004F260B" w:rsidP="004F260B">
          <w:pPr>
            <w:pStyle w:val="99E6CA4FDA93564F90C2572B98C0771B"/>
          </w:pPr>
          <w:r w:rsidRPr="00160344">
            <w:rPr>
              <w:rStyle w:val="PlaceholderText"/>
              <w:color w:val="auto"/>
              <w:u w:val="single"/>
            </w:rPr>
            <w:t>Main Author</w:t>
          </w:r>
        </w:p>
      </w:docPartBody>
    </w:docPart>
    <w:docPart>
      <w:docPartPr>
        <w:name w:val="FAEC8E0996695A438FC52E62DDB95D19"/>
        <w:category>
          <w:name w:val="General"/>
          <w:gallery w:val="placeholder"/>
        </w:category>
        <w:types>
          <w:type w:val="bbPlcHdr"/>
        </w:types>
        <w:behaviors>
          <w:behavior w:val="content"/>
        </w:behaviors>
        <w:guid w:val="{F47FC191-C536-574C-B153-4A520F059552}"/>
      </w:docPartPr>
      <w:docPartBody>
        <w:p w:rsidR="00D122A8" w:rsidRDefault="004F260B" w:rsidP="004F260B">
          <w:pPr>
            <w:pStyle w:val="FAEC8E0996695A438FC52E62DDB95D19"/>
          </w:pPr>
          <w:r w:rsidRPr="00160344">
            <w:rPr>
              <w:rStyle w:val="PlaceholderText"/>
              <w:color w:val="auto"/>
              <w:u w:val="single"/>
            </w:rPr>
            <w:t>Main Author</w:t>
          </w:r>
        </w:p>
      </w:docPartBody>
    </w:docPart>
    <w:docPart>
      <w:docPartPr>
        <w:name w:val="1761A648E426944A8CE891063147E53E"/>
        <w:category>
          <w:name w:val="General"/>
          <w:gallery w:val="placeholder"/>
        </w:category>
        <w:types>
          <w:type w:val="bbPlcHdr"/>
        </w:types>
        <w:behaviors>
          <w:behavior w:val="content"/>
        </w:behaviors>
        <w:guid w:val="{558979E9-EF8B-204F-AAF6-1F5B5E74B5AC}"/>
      </w:docPartPr>
      <w:docPartBody>
        <w:p w:rsidR="00D122A8" w:rsidRDefault="004F260B" w:rsidP="004F260B">
          <w:pPr>
            <w:pStyle w:val="1761A648E426944A8CE891063147E53E"/>
          </w:pPr>
          <w:r w:rsidRPr="00365111">
            <w:rPr>
              <w:rStyle w:val="PlaceholderText"/>
            </w:rPr>
            <w:t>Fare clic o toccare qui per immettere il testo.</w:t>
          </w:r>
        </w:p>
      </w:docPartBody>
    </w:docPart>
    <w:docPart>
      <w:docPartPr>
        <w:name w:val="AF2B0796D7946E488D2D603DDB57711A"/>
        <w:category>
          <w:name w:val="General"/>
          <w:gallery w:val="placeholder"/>
        </w:category>
        <w:types>
          <w:type w:val="bbPlcHdr"/>
        </w:types>
        <w:behaviors>
          <w:behavior w:val="content"/>
        </w:behaviors>
        <w:guid w:val="{2CB7222D-2304-A049-9F9C-46164C349F7C}"/>
      </w:docPartPr>
      <w:docPartBody>
        <w:p w:rsidR="00D122A8" w:rsidRDefault="004F260B" w:rsidP="004F260B">
          <w:pPr>
            <w:pStyle w:val="AF2B0796D7946E488D2D603DDB57711A"/>
          </w:pPr>
          <w:r w:rsidRPr="00160344">
            <w:rPr>
              <w:rStyle w:val="PlaceholderText"/>
              <w:color w:val="auto"/>
            </w:rPr>
            <w:t>Title of Your Paper</w:t>
          </w:r>
        </w:p>
      </w:docPartBody>
    </w:docPart>
    <w:docPart>
      <w:docPartPr>
        <w:name w:val="27AA517C4797C9479D39E49D6E2D7E80"/>
        <w:category>
          <w:name w:val="General"/>
          <w:gallery w:val="placeholder"/>
        </w:category>
        <w:types>
          <w:type w:val="bbPlcHdr"/>
        </w:types>
        <w:behaviors>
          <w:behavior w:val="content"/>
        </w:behaviors>
        <w:guid w:val="{012EBE36-43E3-AA48-A72B-BFC2913BA6DC}"/>
      </w:docPartPr>
      <w:docPartBody>
        <w:p w:rsidR="00D122A8" w:rsidRDefault="004F260B" w:rsidP="004F260B">
          <w:pPr>
            <w:pStyle w:val="27AA517C4797C9479D39E49D6E2D7E80"/>
          </w:pPr>
          <w:r w:rsidRPr="00160344">
            <w:rPr>
              <w:rStyle w:val="PlaceholderText"/>
              <w:color w:val="auto"/>
              <w:u w:val="single"/>
            </w:rPr>
            <w:t>Main Author</w:t>
          </w:r>
        </w:p>
      </w:docPartBody>
    </w:docPart>
    <w:docPart>
      <w:docPartPr>
        <w:name w:val="AAE009F8B7AA9E458C0280A5C4138628"/>
        <w:category>
          <w:name w:val="General"/>
          <w:gallery w:val="placeholder"/>
        </w:category>
        <w:types>
          <w:type w:val="bbPlcHdr"/>
        </w:types>
        <w:behaviors>
          <w:behavior w:val="content"/>
        </w:behaviors>
        <w:guid w:val="{83C1DA40-0652-4B40-8405-3B462BECA261}"/>
      </w:docPartPr>
      <w:docPartBody>
        <w:p w:rsidR="00D122A8" w:rsidRDefault="004F260B" w:rsidP="004F260B">
          <w:pPr>
            <w:pStyle w:val="AAE009F8B7AA9E458C0280A5C4138628"/>
          </w:pPr>
          <w:r w:rsidRPr="006C59A1">
            <w:rPr>
              <w:rStyle w:val="PlaceholderText"/>
            </w:rPr>
            <w:t>Click or tap here to enter text.</w:t>
          </w:r>
        </w:p>
      </w:docPartBody>
    </w:docPart>
    <w:docPart>
      <w:docPartPr>
        <w:name w:val="295E544114724C43A59182FF2CA8E297"/>
        <w:category>
          <w:name w:val="General"/>
          <w:gallery w:val="placeholder"/>
        </w:category>
        <w:types>
          <w:type w:val="bbPlcHdr"/>
        </w:types>
        <w:behaviors>
          <w:behavior w:val="content"/>
        </w:behaviors>
        <w:guid w:val="{06B6447E-595F-F94A-8997-9CA26570294D}"/>
      </w:docPartPr>
      <w:docPartBody>
        <w:p w:rsidR="00D122A8" w:rsidRDefault="004F260B" w:rsidP="004F260B">
          <w:pPr>
            <w:pStyle w:val="295E544114724C43A59182FF2CA8E297"/>
          </w:pPr>
          <w:r w:rsidRPr="004D7CBC">
            <w:rPr>
              <w:rStyle w:val="PlaceholderText"/>
            </w:rPr>
            <w:t>Click or tap here to enter text.</w:t>
          </w:r>
        </w:p>
      </w:docPartBody>
    </w:docPart>
    <w:docPart>
      <w:docPartPr>
        <w:name w:val="F445A8FFC9BE334DA4D51F8067CA14D0"/>
        <w:category>
          <w:name w:val="General"/>
          <w:gallery w:val="placeholder"/>
        </w:category>
        <w:types>
          <w:type w:val="bbPlcHdr"/>
        </w:types>
        <w:behaviors>
          <w:behavior w:val="content"/>
        </w:behaviors>
        <w:guid w:val="{A7BAA030-55A5-D748-AF28-F9BBB64EA9F6}"/>
      </w:docPartPr>
      <w:docPartBody>
        <w:p w:rsidR="00D122A8" w:rsidRDefault="004F260B" w:rsidP="004F260B">
          <w:pPr>
            <w:pStyle w:val="F445A8FFC9BE334DA4D51F8067CA14D0"/>
          </w:pPr>
          <w:r w:rsidRPr="006C59A1">
            <w:rPr>
              <w:rStyle w:val="PlaceholderText"/>
            </w:rPr>
            <w:t>Click or tap here to enter text.</w:t>
          </w:r>
        </w:p>
      </w:docPartBody>
    </w:docPart>
    <w:docPart>
      <w:docPartPr>
        <w:name w:val="B732061DFC3AE24EAF8DEF3019B34611"/>
        <w:category>
          <w:name w:val="General"/>
          <w:gallery w:val="placeholder"/>
        </w:category>
        <w:types>
          <w:type w:val="bbPlcHdr"/>
        </w:types>
        <w:behaviors>
          <w:behavior w:val="content"/>
        </w:behaviors>
        <w:guid w:val="{4071058E-5D90-604A-9F53-35235E170084}"/>
      </w:docPartPr>
      <w:docPartBody>
        <w:p w:rsidR="00D122A8" w:rsidRDefault="004F260B" w:rsidP="004F260B">
          <w:pPr>
            <w:pStyle w:val="B732061DFC3AE24EAF8DEF3019B34611"/>
          </w:pPr>
          <w:r w:rsidRPr="004D7CBC">
            <w:rPr>
              <w:rStyle w:val="PlaceholderText"/>
            </w:rPr>
            <w:t>Click or tap here to enter text.</w:t>
          </w:r>
        </w:p>
      </w:docPartBody>
    </w:docPart>
    <w:docPart>
      <w:docPartPr>
        <w:name w:val="9E7EFAB64D92DF4B9F7ECFAADE3F158A"/>
        <w:category>
          <w:name w:val="General"/>
          <w:gallery w:val="placeholder"/>
        </w:category>
        <w:types>
          <w:type w:val="bbPlcHdr"/>
        </w:types>
        <w:behaviors>
          <w:behavior w:val="content"/>
        </w:behaviors>
        <w:guid w:val="{07921319-599E-3C48-B2AF-7BC46271729E}"/>
      </w:docPartPr>
      <w:docPartBody>
        <w:p w:rsidR="00D122A8" w:rsidRDefault="004F260B" w:rsidP="004F260B">
          <w:pPr>
            <w:pStyle w:val="9E7EFAB64D92DF4B9F7ECFAADE3F158A"/>
          </w:pPr>
          <w:r w:rsidRPr="004D7CBC">
            <w:rPr>
              <w:rStyle w:val="PlaceholderText"/>
            </w:rPr>
            <w:t>Click or tap here to enter text.</w:t>
          </w:r>
        </w:p>
      </w:docPartBody>
    </w:docPart>
    <w:docPart>
      <w:docPartPr>
        <w:name w:val="612BEF8F9D71E04F975D6AD1744EDB14"/>
        <w:category>
          <w:name w:val="General"/>
          <w:gallery w:val="placeholder"/>
        </w:category>
        <w:types>
          <w:type w:val="bbPlcHdr"/>
        </w:types>
        <w:behaviors>
          <w:behavior w:val="content"/>
        </w:behaviors>
        <w:guid w:val="{4B689BD1-55E3-DA4D-94FE-B25A33FCE456}"/>
      </w:docPartPr>
      <w:docPartBody>
        <w:p w:rsidR="00D122A8" w:rsidRDefault="004F260B" w:rsidP="004F260B">
          <w:pPr>
            <w:pStyle w:val="612BEF8F9D71E04F975D6AD1744EDB14"/>
          </w:pPr>
          <w:r w:rsidRPr="004D7CBC">
            <w:rPr>
              <w:rStyle w:val="PlaceholderText"/>
            </w:rPr>
            <w:t>Click or tap here to enter text.</w:t>
          </w:r>
        </w:p>
      </w:docPartBody>
    </w:docPart>
    <w:docPart>
      <w:docPartPr>
        <w:name w:val="887BBAC9B8941244B7D0FDCAFC93183E"/>
        <w:category>
          <w:name w:val="General"/>
          <w:gallery w:val="placeholder"/>
        </w:category>
        <w:types>
          <w:type w:val="bbPlcHdr"/>
        </w:types>
        <w:behaviors>
          <w:behavior w:val="content"/>
        </w:behaviors>
        <w:guid w:val="{B5AF3D0A-E021-7B42-AAA8-EE77468A1DAC}"/>
      </w:docPartPr>
      <w:docPartBody>
        <w:p w:rsidR="00D122A8" w:rsidRDefault="004F260B" w:rsidP="004F260B">
          <w:pPr>
            <w:pStyle w:val="887BBAC9B8941244B7D0FDCAFC93183E"/>
          </w:pPr>
          <w:r w:rsidRPr="002375EB">
            <w:rPr>
              <w:rStyle w:val="PlaceholderText"/>
            </w:rPr>
            <w:t>Click or tap here to enter text.</w:t>
          </w:r>
        </w:p>
      </w:docPartBody>
    </w:docPart>
    <w:docPart>
      <w:docPartPr>
        <w:name w:val="91F15A6C21678141AD20ED1CFF01FC16"/>
        <w:category>
          <w:name w:val="General"/>
          <w:gallery w:val="placeholder"/>
        </w:category>
        <w:types>
          <w:type w:val="bbPlcHdr"/>
        </w:types>
        <w:behaviors>
          <w:behavior w:val="content"/>
        </w:behaviors>
        <w:guid w:val="{BE9B1E8C-51C7-9942-8EA8-1DDB4E1B5214}"/>
      </w:docPartPr>
      <w:docPartBody>
        <w:p w:rsidR="00D122A8" w:rsidRDefault="004F260B" w:rsidP="004F260B">
          <w:pPr>
            <w:pStyle w:val="91F15A6C21678141AD20ED1CFF01FC16"/>
          </w:pPr>
          <w:r w:rsidRPr="00160344">
            <w:rPr>
              <w:rStyle w:val="PlaceholderText"/>
              <w:color w:val="auto"/>
            </w:rPr>
            <w:t>Title of Your Paper</w:t>
          </w:r>
        </w:p>
      </w:docPartBody>
    </w:docPart>
    <w:docPart>
      <w:docPartPr>
        <w:name w:val="265DE49324ECCD4DBF64CD617FE4A682"/>
        <w:category>
          <w:name w:val="General"/>
          <w:gallery w:val="placeholder"/>
        </w:category>
        <w:types>
          <w:type w:val="bbPlcHdr"/>
        </w:types>
        <w:behaviors>
          <w:behavior w:val="content"/>
        </w:behaviors>
        <w:guid w:val="{7F0CB9B8-4862-434C-9844-B10658835378}"/>
      </w:docPartPr>
      <w:docPartBody>
        <w:p w:rsidR="00D122A8" w:rsidRDefault="004F260B" w:rsidP="004F260B">
          <w:pPr>
            <w:pStyle w:val="265DE49324ECCD4DBF64CD617FE4A682"/>
          </w:pPr>
          <w:r w:rsidRPr="00160344">
            <w:rPr>
              <w:rStyle w:val="PlaceholderText"/>
              <w:color w:val="auto"/>
              <w:u w:val="single"/>
            </w:rPr>
            <w:t>Main 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E5"/>
    <w:rsid w:val="00206BE5"/>
    <w:rsid w:val="004F260B"/>
    <w:rsid w:val="00667659"/>
    <w:rsid w:val="00D122A8"/>
    <w:rsid w:val="00D47DEE"/>
    <w:rsid w:val="00EC7CC6"/>
    <w:rsid w:val="00F5320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60B"/>
    <w:rPr>
      <w:color w:val="808080"/>
    </w:rPr>
  </w:style>
  <w:style w:type="paragraph" w:customStyle="1" w:styleId="2094C671F7DB344E9795AA7305D16F63">
    <w:name w:val="2094C671F7DB344E9795AA7305D16F63"/>
    <w:rsid w:val="00206BE5"/>
  </w:style>
  <w:style w:type="paragraph" w:customStyle="1" w:styleId="6F9C322EF884CE4B8DBC7049C6E6D072">
    <w:name w:val="6F9C322EF884CE4B8DBC7049C6E6D072"/>
    <w:rsid w:val="00206BE5"/>
  </w:style>
  <w:style w:type="paragraph" w:customStyle="1" w:styleId="DE2C65F19851B344A87D427A5176473D">
    <w:name w:val="DE2C65F19851B344A87D427A5176473D"/>
    <w:rsid w:val="004F260B"/>
    <w:rPr>
      <w:lang w:val="en-TR" w:eastAsia="en-US"/>
    </w:rPr>
  </w:style>
  <w:style w:type="paragraph" w:customStyle="1" w:styleId="119124B54A19D14C848E524710844633">
    <w:name w:val="119124B54A19D14C848E524710844633"/>
    <w:rsid w:val="004F260B"/>
    <w:rPr>
      <w:lang w:val="en-TR" w:eastAsia="en-US"/>
    </w:rPr>
  </w:style>
  <w:style w:type="paragraph" w:customStyle="1" w:styleId="657B9955B2EFDD4ABC4F3CE675E208C2">
    <w:name w:val="657B9955B2EFDD4ABC4F3CE675E208C2"/>
    <w:rsid w:val="004F260B"/>
    <w:rPr>
      <w:lang w:val="en-TR" w:eastAsia="en-US"/>
    </w:rPr>
  </w:style>
  <w:style w:type="paragraph" w:customStyle="1" w:styleId="99E6CA4FDA93564F90C2572B98C0771B">
    <w:name w:val="99E6CA4FDA93564F90C2572B98C0771B"/>
    <w:rsid w:val="004F260B"/>
    <w:rPr>
      <w:lang w:val="en-TR" w:eastAsia="en-US"/>
    </w:rPr>
  </w:style>
  <w:style w:type="paragraph" w:customStyle="1" w:styleId="FAEC8E0996695A438FC52E62DDB95D19">
    <w:name w:val="FAEC8E0996695A438FC52E62DDB95D19"/>
    <w:rsid w:val="004F260B"/>
    <w:rPr>
      <w:lang w:val="en-TR" w:eastAsia="en-US"/>
    </w:rPr>
  </w:style>
  <w:style w:type="paragraph" w:customStyle="1" w:styleId="1761A648E426944A8CE891063147E53E">
    <w:name w:val="1761A648E426944A8CE891063147E53E"/>
    <w:rsid w:val="004F260B"/>
    <w:rPr>
      <w:lang w:val="en-TR" w:eastAsia="en-US"/>
    </w:rPr>
  </w:style>
  <w:style w:type="paragraph" w:customStyle="1" w:styleId="AF2B0796D7946E488D2D603DDB57711A">
    <w:name w:val="AF2B0796D7946E488D2D603DDB57711A"/>
    <w:rsid w:val="004F260B"/>
    <w:rPr>
      <w:lang w:val="en-TR" w:eastAsia="en-US"/>
    </w:rPr>
  </w:style>
  <w:style w:type="paragraph" w:customStyle="1" w:styleId="27AA517C4797C9479D39E49D6E2D7E80">
    <w:name w:val="27AA517C4797C9479D39E49D6E2D7E80"/>
    <w:rsid w:val="004F260B"/>
    <w:rPr>
      <w:lang w:val="en-TR" w:eastAsia="en-US"/>
    </w:rPr>
  </w:style>
  <w:style w:type="paragraph" w:customStyle="1" w:styleId="AAE009F8B7AA9E458C0280A5C4138628">
    <w:name w:val="AAE009F8B7AA9E458C0280A5C4138628"/>
    <w:rsid w:val="004F260B"/>
    <w:rPr>
      <w:lang w:val="en-TR" w:eastAsia="en-US"/>
    </w:rPr>
  </w:style>
  <w:style w:type="paragraph" w:customStyle="1" w:styleId="295E544114724C43A59182FF2CA8E297">
    <w:name w:val="295E544114724C43A59182FF2CA8E297"/>
    <w:rsid w:val="004F260B"/>
    <w:rPr>
      <w:lang w:val="en-TR" w:eastAsia="en-US"/>
    </w:rPr>
  </w:style>
  <w:style w:type="paragraph" w:customStyle="1" w:styleId="F445A8FFC9BE334DA4D51F8067CA14D0">
    <w:name w:val="F445A8FFC9BE334DA4D51F8067CA14D0"/>
    <w:rsid w:val="004F260B"/>
    <w:rPr>
      <w:lang w:val="en-TR" w:eastAsia="en-US"/>
    </w:rPr>
  </w:style>
  <w:style w:type="paragraph" w:customStyle="1" w:styleId="B732061DFC3AE24EAF8DEF3019B34611">
    <w:name w:val="B732061DFC3AE24EAF8DEF3019B34611"/>
    <w:rsid w:val="004F260B"/>
    <w:rPr>
      <w:lang w:val="en-TR" w:eastAsia="en-US"/>
    </w:rPr>
  </w:style>
  <w:style w:type="paragraph" w:customStyle="1" w:styleId="9E7EFAB64D92DF4B9F7ECFAADE3F158A">
    <w:name w:val="9E7EFAB64D92DF4B9F7ECFAADE3F158A"/>
    <w:rsid w:val="004F260B"/>
    <w:rPr>
      <w:lang w:val="en-TR" w:eastAsia="en-US"/>
    </w:rPr>
  </w:style>
  <w:style w:type="paragraph" w:customStyle="1" w:styleId="612BEF8F9D71E04F975D6AD1744EDB14">
    <w:name w:val="612BEF8F9D71E04F975D6AD1744EDB14"/>
    <w:rsid w:val="004F260B"/>
    <w:rPr>
      <w:lang w:val="en-TR" w:eastAsia="en-US"/>
    </w:rPr>
  </w:style>
  <w:style w:type="paragraph" w:customStyle="1" w:styleId="887BBAC9B8941244B7D0FDCAFC93183E">
    <w:name w:val="887BBAC9B8941244B7D0FDCAFC93183E"/>
    <w:rsid w:val="004F260B"/>
    <w:rPr>
      <w:lang w:val="en-TR" w:eastAsia="en-US"/>
    </w:rPr>
  </w:style>
  <w:style w:type="paragraph" w:customStyle="1" w:styleId="91F15A6C21678141AD20ED1CFF01FC16">
    <w:name w:val="91F15A6C21678141AD20ED1CFF01FC16"/>
    <w:rsid w:val="004F260B"/>
    <w:rPr>
      <w:lang w:val="en-TR" w:eastAsia="en-US"/>
    </w:rPr>
  </w:style>
  <w:style w:type="paragraph" w:customStyle="1" w:styleId="265DE49324ECCD4DBF64CD617FE4A682">
    <w:name w:val="265DE49324ECCD4DBF64CD617FE4A682"/>
    <w:rsid w:val="004F260B"/>
    <w:rPr>
      <w:lang w:val="en-T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13050</Words>
  <Characters>74390</Characters>
  <Application>Microsoft Office Word</Application>
  <DocSecurity>0</DocSecurity>
  <Lines>619</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Amine Başak Türk</dc:creator>
  <cp:keywords/>
  <dc:description/>
  <cp:lastModifiedBy>Aydin Basarir</cp:lastModifiedBy>
  <cp:revision>4</cp:revision>
  <dcterms:created xsi:type="dcterms:W3CDTF">2023-05-31T04:29:00Z</dcterms:created>
  <dcterms:modified xsi:type="dcterms:W3CDTF">2023-05-31T04:30:00Z</dcterms:modified>
</cp:coreProperties>
</file>